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BBC6" w14:textId="3926AF6F" w:rsidR="00F3725C" w:rsidRPr="00F3725C" w:rsidRDefault="006A5C14" w:rsidP="00F3725C">
      <w:pPr>
        <w:spacing w:after="0" w:line="240" w:lineRule="auto"/>
        <w:jc w:val="center"/>
        <w:rPr>
          <w:rFonts w:ascii="Garamond" w:hAnsi="Garamond"/>
          <w:b/>
          <w:sz w:val="36"/>
          <w:szCs w:val="36"/>
        </w:rPr>
      </w:pPr>
      <w:r>
        <w:rPr>
          <w:noProof/>
        </w:rPr>
        <w:drawing>
          <wp:anchor distT="0" distB="0" distL="114300" distR="114300" simplePos="0" relativeHeight="251659264" behindDoc="0" locked="0" layoutInCell="1" allowOverlap="1" wp14:anchorId="7B2DA01B" wp14:editId="2CB6DC25">
            <wp:simplePos x="0" y="0"/>
            <wp:positionH relativeFrom="column">
              <wp:posOffset>0</wp:posOffset>
            </wp:positionH>
            <wp:positionV relativeFrom="paragraph">
              <wp:posOffset>-37633</wp:posOffset>
            </wp:positionV>
            <wp:extent cx="321836" cy="406621"/>
            <wp:effectExtent l="0" t="0" r="2540" b="0"/>
            <wp:wrapNone/>
            <wp:docPr id="975314220" name="Picture 1" descr="A logo with a flag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14220" name="Picture 1" descr="A logo with a flag and sta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836" cy="40662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A967229" wp14:editId="3BA728B7">
            <wp:simplePos x="0" y="0"/>
            <wp:positionH relativeFrom="column">
              <wp:posOffset>6454790</wp:posOffset>
            </wp:positionH>
            <wp:positionV relativeFrom="paragraph">
              <wp:posOffset>-36999</wp:posOffset>
            </wp:positionV>
            <wp:extent cx="321836" cy="406621"/>
            <wp:effectExtent l="0" t="0" r="2540" b="0"/>
            <wp:wrapNone/>
            <wp:docPr id="473813440" name="Picture 473813440" descr="A logo with a flag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14220" name="Picture 1" descr="A logo with a flag and sta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836" cy="406621"/>
                    </a:xfrm>
                    <a:prstGeom prst="rect">
                      <a:avLst/>
                    </a:prstGeom>
                  </pic:spPr>
                </pic:pic>
              </a:graphicData>
            </a:graphic>
            <wp14:sizeRelH relativeFrom="margin">
              <wp14:pctWidth>0</wp14:pctWidth>
            </wp14:sizeRelH>
            <wp14:sizeRelV relativeFrom="margin">
              <wp14:pctHeight>0</wp14:pctHeight>
            </wp14:sizeRelV>
          </wp:anchor>
        </w:drawing>
      </w:r>
      <w:r w:rsidR="00D65EDC" w:rsidRPr="00F3725C">
        <w:rPr>
          <w:rFonts w:ascii="Garamond" w:hAnsi="Garamond"/>
          <w:b/>
          <w:sz w:val="36"/>
          <w:szCs w:val="36"/>
        </w:rPr>
        <w:t xml:space="preserve">Pine </w:t>
      </w:r>
      <w:r w:rsidR="004C167E" w:rsidRPr="00F3725C">
        <w:rPr>
          <w:rFonts w:ascii="Garamond" w:hAnsi="Garamond"/>
          <w:b/>
          <w:sz w:val="36"/>
          <w:szCs w:val="36"/>
        </w:rPr>
        <w:t>View Elementary</w:t>
      </w:r>
      <w:r w:rsidR="004E1F97" w:rsidRPr="00F3725C">
        <w:rPr>
          <w:rFonts w:ascii="Garamond" w:hAnsi="Garamond"/>
          <w:b/>
          <w:sz w:val="36"/>
          <w:szCs w:val="36"/>
        </w:rPr>
        <w:t xml:space="preserve"> School</w:t>
      </w:r>
    </w:p>
    <w:p w14:paraId="15B90B42" w14:textId="24C12A0C" w:rsidR="004E1F97" w:rsidRPr="00F3725C" w:rsidRDefault="008B3BAA" w:rsidP="00F3725C">
      <w:pPr>
        <w:spacing w:after="0" w:line="240" w:lineRule="auto"/>
        <w:jc w:val="center"/>
        <w:rPr>
          <w:rFonts w:ascii="Garamond" w:hAnsi="Garamond"/>
          <w:b/>
          <w:sz w:val="36"/>
          <w:szCs w:val="36"/>
        </w:rPr>
      </w:pPr>
      <w:r w:rsidRPr="00F3725C">
        <w:rPr>
          <w:rFonts w:ascii="Garamond" w:hAnsi="Garamond"/>
          <w:b/>
          <w:sz w:val="28"/>
          <w:szCs w:val="28"/>
        </w:rPr>
        <w:t>Assessment Policy</w:t>
      </w:r>
      <w:r w:rsidR="00D65EDC" w:rsidRPr="00F3725C">
        <w:rPr>
          <w:rFonts w:ascii="Garamond" w:hAnsi="Garamond"/>
          <w:b/>
          <w:sz w:val="28"/>
          <w:szCs w:val="28"/>
        </w:rPr>
        <w:t xml:space="preserve"> </w:t>
      </w:r>
    </w:p>
    <w:p w14:paraId="30A68977" w14:textId="5C26B8E4" w:rsidR="00D84116" w:rsidRPr="00AA531C" w:rsidRDefault="009C7277" w:rsidP="00F3725C">
      <w:pPr>
        <w:spacing w:after="0" w:line="240" w:lineRule="auto"/>
        <w:rPr>
          <w:rFonts w:ascii="Garamond" w:hAnsi="Garamond"/>
          <w:b/>
          <w:sz w:val="21"/>
          <w:szCs w:val="21"/>
          <w:u w:val="single"/>
        </w:rPr>
      </w:pPr>
      <w:r w:rsidRPr="00AA531C">
        <w:rPr>
          <w:rFonts w:ascii="Garamond" w:hAnsi="Garamond"/>
          <w:b/>
          <w:sz w:val="21"/>
          <w:szCs w:val="21"/>
          <w:u w:val="single"/>
        </w:rPr>
        <w:t>PVES Mission Statement</w:t>
      </w:r>
    </w:p>
    <w:p w14:paraId="185A52C9" w14:textId="7C92DBE0" w:rsidR="009C7277" w:rsidRPr="00AA531C" w:rsidRDefault="009C7277" w:rsidP="00F3725C">
      <w:pPr>
        <w:widowControl w:val="0"/>
        <w:autoSpaceDE w:val="0"/>
        <w:autoSpaceDN w:val="0"/>
        <w:adjustRightInd w:val="0"/>
        <w:spacing w:after="0" w:line="240" w:lineRule="auto"/>
        <w:rPr>
          <w:rFonts w:ascii="Garamond" w:hAnsi="Garamond" w:cs="Times"/>
          <w:color w:val="000000"/>
          <w:sz w:val="21"/>
          <w:szCs w:val="21"/>
          <w:lang w:eastAsia="zh-CN"/>
        </w:rPr>
      </w:pPr>
      <w:r w:rsidRPr="00AA531C">
        <w:rPr>
          <w:rFonts w:ascii="Garamond" w:hAnsi="Garamond" w:cs="Calibri"/>
          <w:color w:val="000000"/>
          <w:sz w:val="21"/>
          <w:szCs w:val="21"/>
          <w:lang w:eastAsia="zh-CN"/>
        </w:rPr>
        <w:t xml:space="preserve">The PVES community will develop the knowledge and skills to become caring, lifelong learners through </w:t>
      </w:r>
      <w:r w:rsidRPr="00AA531C">
        <w:rPr>
          <w:rFonts w:ascii="Garamond" w:hAnsi="Garamond" w:cs="Calibri"/>
          <w:bCs/>
          <w:color w:val="000000"/>
          <w:sz w:val="21"/>
          <w:szCs w:val="21"/>
          <w:lang w:eastAsia="zh-CN"/>
        </w:rPr>
        <w:t xml:space="preserve">inquisitive, collaborative and reflective practices </w:t>
      </w:r>
      <w:r w:rsidRPr="00AA531C">
        <w:rPr>
          <w:rFonts w:ascii="Garamond" w:hAnsi="Garamond" w:cs="Calibri"/>
          <w:color w:val="000000"/>
          <w:sz w:val="21"/>
          <w:szCs w:val="21"/>
          <w:lang w:eastAsia="zh-CN"/>
        </w:rPr>
        <w:t>by respecting diversity and becoming globally minded citizens who are empowered to take</w:t>
      </w:r>
      <w:r w:rsidR="00ED002B">
        <w:rPr>
          <w:rFonts w:ascii="Garamond" w:hAnsi="Garamond" w:cs="Calibri"/>
          <w:color w:val="000000"/>
          <w:sz w:val="21"/>
          <w:szCs w:val="21"/>
          <w:lang w:eastAsia="zh-CN"/>
        </w:rPr>
        <w:t>-</w:t>
      </w:r>
      <w:r w:rsidRPr="00AA531C">
        <w:rPr>
          <w:rFonts w:ascii="Garamond" w:hAnsi="Garamond" w:cs="Calibri"/>
          <w:color w:val="000000"/>
          <w:sz w:val="21"/>
          <w:szCs w:val="21"/>
          <w:lang w:eastAsia="zh-CN"/>
        </w:rPr>
        <w:t>action.</w:t>
      </w:r>
    </w:p>
    <w:p w14:paraId="5EB20871" w14:textId="77777777" w:rsidR="00F3725C" w:rsidRPr="00AA531C" w:rsidRDefault="00F3725C" w:rsidP="00F3725C">
      <w:pPr>
        <w:widowControl w:val="0"/>
        <w:autoSpaceDE w:val="0"/>
        <w:autoSpaceDN w:val="0"/>
        <w:adjustRightInd w:val="0"/>
        <w:spacing w:after="0" w:line="240" w:lineRule="auto"/>
        <w:rPr>
          <w:rFonts w:ascii="Garamond" w:hAnsi="Garamond" w:cs="Times"/>
          <w:color w:val="000000"/>
          <w:sz w:val="21"/>
          <w:szCs w:val="21"/>
          <w:lang w:eastAsia="zh-CN"/>
        </w:rPr>
      </w:pPr>
    </w:p>
    <w:p w14:paraId="14C1E666" w14:textId="5A567298" w:rsidR="004E1F97" w:rsidRPr="00AA531C" w:rsidRDefault="00D91192" w:rsidP="00F3725C">
      <w:pPr>
        <w:spacing w:after="0" w:line="240" w:lineRule="auto"/>
        <w:rPr>
          <w:rFonts w:ascii="Garamond" w:hAnsi="Garamond"/>
          <w:b/>
          <w:sz w:val="21"/>
          <w:szCs w:val="21"/>
          <w:u w:val="single"/>
        </w:rPr>
      </w:pPr>
      <w:r w:rsidRPr="00AA531C">
        <w:rPr>
          <w:rFonts w:ascii="Garamond" w:hAnsi="Garamond"/>
          <w:b/>
          <w:sz w:val="21"/>
          <w:szCs w:val="21"/>
          <w:u w:val="single"/>
        </w:rPr>
        <w:t>Philosophy</w:t>
      </w:r>
    </w:p>
    <w:p w14:paraId="4B8F9086" w14:textId="17D5795D" w:rsidR="004A298E" w:rsidRPr="00AA531C" w:rsidRDefault="004A298E" w:rsidP="00F3725C">
      <w:p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At PVES</w:t>
      </w:r>
      <w:r w:rsidR="006704EB" w:rsidRPr="00AA531C">
        <w:rPr>
          <w:rFonts w:ascii="Garamond" w:hAnsi="Garamond" w:cs="Calibri"/>
          <w:color w:val="000000"/>
          <w:sz w:val="21"/>
          <w:szCs w:val="21"/>
          <w:lang w:eastAsia="zh-CN"/>
        </w:rPr>
        <w:t xml:space="preserve"> </w:t>
      </w:r>
      <w:r w:rsidR="00423A9C">
        <w:rPr>
          <w:rFonts w:ascii="Garamond" w:hAnsi="Garamond" w:cs="Calibri"/>
          <w:color w:val="000000"/>
          <w:sz w:val="21"/>
          <w:szCs w:val="21"/>
          <w:lang w:eastAsia="zh-CN"/>
        </w:rPr>
        <w:t>assessments are</w:t>
      </w:r>
      <w:r w:rsidR="006704EB" w:rsidRPr="00AA531C">
        <w:rPr>
          <w:rFonts w:ascii="Garamond" w:hAnsi="Garamond" w:cs="Calibri"/>
          <w:color w:val="000000"/>
          <w:sz w:val="21"/>
          <w:szCs w:val="21"/>
          <w:lang w:eastAsia="zh-CN"/>
        </w:rPr>
        <w:t xml:space="preserve"> a tool for learning that is ongoing, measures student growth and mastery of standards over time, and is data driven. </w:t>
      </w:r>
      <w:r w:rsidR="00666A1E" w:rsidRPr="00AA531C">
        <w:rPr>
          <w:rFonts w:ascii="Garamond" w:hAnsi="Garamond" w:cs="Calibri"/>
          <w:color w:val="000000"/>
          <w:sz w:val="21"/>
          <w:szCs w:val="21"/>
          <w:lang w:eastAsia="zh-CN"/>
        </w:rPr>
        <w:t xml:space="preserve">Growth will be measured with a balance of formative, </w:t>
      </w:r>
      <w:r w:rsidR="00486D22" w:rsidRPr="00AA531C">
        <w:rPr>
          <w:rFonts w:ascii="Garamond" w:hAnsi="Garamond" w:cs="Calibri"/>
          <w:color w:val="000000"/>
          <w:sz w:val="21"/>
          <w:szCs w:val="21"/>
          <w:lang w:eastAsia="zh-CN"/>
        </w:rPr>
        <w:t>summative and</w:t>
      </w:r>
      <w:r w:rsidR="00666A1E" w:rsidRPr="00AA531C">
        <w:rPr>
          <w:rFonts w:ascii="Garamond" w:hAnsi="Garamond" w:cs="Calibri"/>
          <w:color w:val="000000"/>
          <w:sz w:val="21"/>
          <w:szCs w:val="21"/>
          <w:lang w:eastAsia="zh-CN"/>
        </w:rPr>
        <w:t xml:space="preserve"> </w:t>
      </w:r>
      <w:r w:rsidR="00EE20E4">
        <w:rPr>
          <w:rFonts w:ascii="Garamond" w:hAnsi="Garamond" w:cs="Calibri"/>
          <w:color w:val="000000"/>
          <w:sz w:val="21"/>
          <w:szCs w:val="21"/>
          <w:lang w:eastAsia="zh-CN"/>
        </w:rPr>
        <w:t>adaptive</w:t>
      </w:r>
      <w:r w:rsidR="00666A1E" w:rsidRPr="00AA531C">
        <w:rPr>
          <w:rFonts w:ascii="Garamond" w:hAnsi="Garamond" w:cs="Calibri"/>
          <w:color w:val="000000"/>
          <w:sz w:val="21"/>
          <w:szCs w:val="21"/>
          <w:lang w:eastAsia="zh-CN"/>
        </w:rPr>
        <w:t xml:space="preserve"> assessments</w:t>
      </w:r>
      <w:r w:rsidR="00486D22" w:rsidRPr="00AA531C">
        <w:rPr>
          <w:rFonts w:ascii="Garamond" w:hAnsi="Garamond" w:cs="Calibri"/>
          <w:color w:val="000000"/>
          <w:sz w:val="21"/>
          <w:szCs w:val="21"/>
          <w:lang w:eastAsia="zh-CN"/>
        </w:rPr>
        <w:t>.</w:t>
      </w:r>
      <w:r w:rsidR="00F44AF9" w:rsidRPr="00AA531C">
        <w:rPr>
          <w:rFonts w:ascii="Garamond" w:hAnsi="Garamond" w:cs="Calibri"/>
          <w:color w:val="000000"/>
          <w:sz w:val="21"/>
          <w:szCs w:val="21"/>
          <w:lang w:eastAsia="zh-CN"/>
        </w:rPr>
        <w:t xml:space="preserve">  Reflection of learning b</w:t>
      </w:r>
      <w:r w:rsidR="00AA291B" w:rsidRPr="00AA531C">
        <w:rPr>
          <w:rFonts w:ascii="Garamond" w:hAnsi="Garamond" w:cs="Calibri"/>
          <w:color w:val="000000"/>
          <w:sz w:val="21"/>
          <w:szCs w:val="21"/>
          <w:lang w:eastAsia="zh-CN"/>
        </w:rPr>
        <w:t>y</w:t>
      </w:r>
      <w:r w:rsidR="00F44AF9" w:rsidRPr="00AA531C">
        <w:rPr>
          <w:rFonts w:ascii="Garamond" w:hAnsi="Garamond" w:cs="Calibri"/>
          <w:color w:val="000000"/>
          <w:sz w:val="21"/>
          <w:szCs w:val="21"/>
          <w:lang w:eastAsia="zh-CN"/>
        </w:rPr>
        <w:t xml:space="preserve"> students, teachers, administration, and parents is an essential part of the assessment cycle. Providing students with time to engage in self-reflection and self-evaluation of academic progress and growth in the PYP is paramount to the learning process.</w:t>
      </w:r>
      <w:r w:rsidR="0019280C" w:rsidRPr="00AA531C">
        <w:rPr>
          <w:rFonts w:ascii="Garamond" w:hAnsi="Garamond" w:cs="Calibri"/>
          <w:color w:val="000000"/>
          <w:sz w:val="21"/>
          <w:szCs w:val="21"/>
          <w:lang w:eastAsia="zh-CN"/>
        </w:rPr>
        <w:t xml:space="preserve"> </w:t>
      </w:r>
    </w:p>
    <w:p w14:paraId="0DAFEEBD" w14:textId="77777777" w:rsidR="00AA291B" w:rsidRPr="00AA531C" w:rsidRDefault="00AA291B" w:rsidP="00F3725C">
      <w:pPr>
        <w:spacing w:after="0" w:line="240" w:lineRule="auto"/>
        <w:rPr>
          <w:rFonts w:ascii="Garamond" w:hAnsi="Garamond" w:cs="Calibri"/>
          <w:color w:val="000000"/>
          <w:sz w:val="21"/>
          <w:szCs w:val="21"/>
          <w:lang w:eastAsia="zh-CN"/>
        </w:rPr>
      </w:pPr>
    </w:p>
    <w:p w14:paraId="431CC33E" w14:textId="2F8525B7" w:rsidR="00AA291B" w:rsidRPr="00AA531C" w:rsidRDefault="00AA291B" w:rsidP="00F3725C">
      <w:pPr>
        <w:spacing w:after="0" w:line="240" w:lineRule="auto"/>
        <w:rPr>
          <w:rFonts w:ascii="Garamond" w:hAnsi="Garamond"/>
          <w:b/>
          <w:sz w:val="21"/>
          <w:szCs w:val="21"/>
          <w:u w:val="single"/>
        </w:rPr>
      </w:pPr>
      <w:r w:rsidRPr="00AA531C">
        <w:rPr>
          <w:rFonts w:ascii="Garamond" w:hAnsi="Garamond"/>
          <w:b/>
          <w:sz w:val="21"/>
          <w:szCs w:val="21"/>
          <w:u w:val="single"/>
        </w:rPr>
        <w:t>Purpose of Assessment</w:t>
      </w:r>
    </w:p>
    <w:p w14:paraId="3166782A" w14:textId="773D1117" w:rsidR="00AA291B" w:rsidRPr="00AA531C" w:rsidRDefault="00E8522B" w:rsidP="00F3725C">
      <w:p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 xml:space="preserve">Our purpose of assessment is to allow teachers, parents, students and administration to establish a clear picture of individual student progress and set target goals for students. The assessment cycle guides instruction. It provides an understanding of what students know, what they need to know and what to plan next. Assessment is a tool used for planning and differentiation of instruction. Students use self-reflection and self-evaluation as an avenue for </w:t>
      </w:r>
      <w:r w:rsidR="004C167E" w:rsidRPr="00AA531C">
        <w:rPr>
          <w:rFonts w:ascii="Garamond" w:hAnsi="Garamond" w:cs="Calibri"/>
          <w:color w:val="000000"/>
          <w:sz w:val="21"/>
          <w:szCs w:val="21"/>
          <w:lang w:eastAsia="zh-CN"/>
        </w:rPr>
        <w:t>student-initiated</w:t>
      </w:r>
      <w:r w:rsidRPr="00AA531C">
        <w:rPr>
          <w:rFonts w:ascii="Garamond" w:hAnsi="Garamond" w:cs="Calibri"/>
          <w:color w:val="000000"/>
          <w:sz w:val="21"/>
          <w:szCs w:val="21"/>
          <w:lang w:eastAsia="zh-CN"/>
        </w:rPr>
        <w:t xml:space="preserve"> action.</w:t>
      </w:r>
    </w:p>
    <w:p w14:paraId="1F4CA0D8" w14:textId="77777777" w:rsidR="00F3725C" w:rsidRPr="00AA531C" w:rsidRDefault="00F3725C" w:rsidP="00F3725C">
      <w:pPr>
        <w:spacing w:after="0" w:line="240" w:lineRule="auto"/>
        <w:rPr>
          <w:rFonts w:ascii="Garamond" w:hAnsi="Garamond"/>
          <w:b/>
          <w:sz w:val="21"/>
          <w:szCs w:val="21"/>
          <w:u w:val="single"/>
        </w:rPr>
      </w:pPr>
    </w:p>
    <w:p w14:paraId="6CC6F3F9" w14:textId="1B6F7E4A" w:rsidR="00E8522B" w:rsidRPr="00AA531C" w:rsidRDefault="00E8522B" w:rsidP="00F3725C">
      <w:pPr>
        <w:spacing w:after="0" w:line="240" w:lineRule="auto"/>
        <w:rPr>
          <w:rFonts w:ascii="Garamond" w:hAnsi="Garamond"/>
          <w:b/>
          <w:sz w:val="21"/>
          <w:szCs w:val="21"/>
          <w:u w:val="single"/>
        </w:rPr>
      </w:pPr>
      <w:r w:rsidRPr="00AA531C">
        <w:rPr>
          <w:rFonts w:ascii="Garamond" w:hAnsi="Garamond"/>
          <w:b/>
          <w:sz w:val="21"/>
          <w:szCs w:val="21"/>
          <w:u w:val="single"/>
        </w:rPr>
        <w:t xml:space="preserve">Assessment of </w:t>
      </w:r>
      <w:r w:rsidR="008A029C" w:rsidRPr="00AA531C">
        <w:rPr>
          <w:rFonts w:ascii="Garamond" w:hAnsi="Garamond"/>
          <w:b/>
          <w:sz w:val="21"/>
          <w:szCs w:val="21"/>
          <w:u w:val="single"/>
        </w:rPr>
        <w:t>Pine View</w:t>
      </w:r>
      <w:r w:rsidRPr="00AA531C">
        <w:rPr>
          <w:rFonts w:ascii="Garamond" w:hAnsi="Garamond"/>
          <w:b/>
          <w:sz w:val="21"/>
          <w:szCs w:val="21"/>
          <w:u w:val="single"/>
        </w:rPr>
        <w:t xml:space="preserve"> Elementary Program of Inquiry</w:t>
      </w:r>
    </w:p>
    <w:p w14:paraId="73DFD3A2" w14:textId="28178E15" w:rsidR="00E8522B" w:rsidRPr="00AA531C" w:rsidRDefault="00E8522B" w:rsidP="00F3725C">
      <w:p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 xml:space="preserve">At PVES products, performances and task are designed to show understanding of learning objectives </w:t>
      </w:r>
      <w:r w:rsidR="00F25AE2">
        <w:rPr>
          <w:rFonts w:ascii="Garamond" w:hAnsi="Garamond" w:cs="Calibri"/>
          <w:color w:val="000000"/>
          <w:sz w:val="21"/>
          <w:szCs w:val="21"/>
          <w:lang w:eastAsia="zh-CN"/>
        </w:rPr>
        <w:t xml:space="preserve">within </w:t>
      </w:r>
      <w:r w:rsidRPr="00AA531C">
        <w:rPr>
          <w:rFonts w:ascii="Garamond" w:hAnsi="Garamond" w:cs="Calibri"/>
          <w:color w:val="000000"/>
          <w:sz w:val="21"/>
          <w:szCs w:val="21"/>
          <w:lang w:eastAsia="zh-CN"/>
        </w:rPr>
        <w:t>the units of inquiry. Effective assessment practices include:</w:t>
      </w:r>
    </w:p>
    <w:p w14:paraId="0F67EF99" w14:textId="78F4471E" w:rsidR="00E8522B" w:rsidRPr="00AA531C" w:rsidRDefault="00E8522B" w:rsidP="00F3725C">
      <w:pPr>
        <w:pStyle w:val="ListParagraph"/>
        <w:numPr>
          <w:ilvl w:val="0"/>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Assessing for prior knowledge. Tools for pre-assessments include, but are not limited to:</w:t>
      </w:r>
    </w:p>
    <w:p w14:paraId="4E592FF3" w14:textId="3B125130" w:rsidR="00E8522B" w:rsidRPr="00AA531C" w:rsidRDefault="00E8522B"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KWL</w:t>
      </w:r>
    </w:p>
    <w:p w14:paraId="4E916667" w14:textId="2DEC09B0" w:rsidR="00E8522B" w:rsidRPr="00AA531C" w:rsidRDefault="00E8522B"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Reflection Journals</w:t>
      </w:r>
    </w:p>
    <w:p w14:paraId="48C17B20" w14:textId="2438591E" w:rsidR="00E8522B" w:rsidRPr="00AA531C" w:rsidRDefault="00E8522B"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Discussions/Brainstorms</w:t>
      </w:r>
    </w:p>
    <w:p w14:paraId="20BF9DDB" w14:textId="47BC01A3" w:rsidR="00F3725C" w:rsidRPr="008A3F9E" w:rsidRDefault="00F3725C"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sz w:val="21"/>
          <w:szCs w:val="21"/>
        </w:rPr>
        <w:t>I wonder</w:t>
      </w:r>
    </w:p>
    <w:p w14:paraId="1297973F" w14:textId="36C4E9EB" w:rsidR="008A3F9E" w:rsidRDefault="008A3F9E" w:rsidP="00F3725C">
      <w:pPr>
        <w:pStyle w:val="ListParagraph"/>
        <w:numPr>
          <w:ilvl w:val="1"/>
          <w:numId w:val="5"/>
        </w:numPr>
        <w:spacing w:after="0" w:line="240" w:lineRule="auto"/>
        <w:rPr>
          <w:rFonts w:ascii="Garamond" w:hAnsi="Garamond"/>
          <w:sz w:val="21"/>
          <w:szCs w:val="21"/>
        </w:rPr>
      </w:pPr>
      <w:r w:rsidRPr="008A3F9E">
        <w:rPr>
          <w:rFonts w:ascii="Garamond" w:hAnsi="Garamond"/>
          <w:sz w:val="21"/>
          <w:szCs w:val="21"/>
        </w:rPr>
        <w:t>Quick Writes</w:t>
      </w:r>
    </w:p>
    <w:p w14:paraId="3B4EBC6E" w14:textId="3DFEF4BC" w:rsidR="008A3F9E" w:rsidRPr="008A3F9E" w:rsidRDefault="008A3F9E" w:rsidP="00F3725C">
      <w:pPr>
        <w:pStyle w:val="ListParagraph"/>
        <w:numPr>
          <w:ilvl w:val="1"/>
          <w:numId w:val="5"/>
        </w:numPr>
        <w:spacing w:after="0" w:line="240" w:lineRule="auto"/>
        <w:rPr>
          <w:rFonts w:ascii="Garamond" w:hAnsi="Garamond"/>
          <w:sz w:val="21"/>
          <w:szCs w:val="21"/>
        </w:rPr>
      </w:pPr>
      <w:r>
        <w:rPr>
          <w:rFonts w:ascii="Garamond" w:hAnsi="Garamond"/>
          <w:sz w:val="21"/>
          <w:szCs w:val="21"/>
        </w:rPr>
        <w:t>Word Splash</w:t>
      </w:r>
    </w:p>
    <w:p w14:paraId="533C612E" w14:textId="30151B0E" w:rsidR="00E8522B" w:rsidRPr="00AA531C" w:rsidRDefault="00E8522B" w:rsidP="00F3725C">
      <w:pPr>
        <w:pStyle w:val="ListParagraph"/>
        <w:numPr>
          <w:ilvl w:val="0"/>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 xml:space="preserve">Assessments evaluate student progress and performance in both Florida </w:t>
      </w:r>
      <w:r w:rsidR="00E83DB0">
        <w:rPr>
          <w:rFonts w:ascii="Garamond" w:hAnsi="Garamond" w:cs="Calibri"/>
          <w:color w:val="000000"/>
          <w:sz w:val="21"/>
          <w:szCs w:val="21"/>
          <w:lang w:eastAsia="zh-CN"/>
        </w:rPr>
        <w:t>s</w:t>
      </w:r>
      <w:r w:rsidRPr="00AA531C">
        <w:rPr>
          <w:rFonts w:ascii="Garamond" w:hAnsi="Garamond" w:cs="Calibri"/>
          <w:color w:val="000000"/>
          <w:sz w:val="21"/>
          <w:szCs w:val="21"/>
          <w:lang w:eastAsia="zh-CN"/>
        </w:rPr>
        <w:t xml:space="preserve">tate </w:t>
      </w:r>
      <w:r w:rsidR="00E83DB0">
        <w:rPr>
          <w:rFonts w:ascii="Garamond" w:hAnsi="Garamond" w:cs="Calibri"/>
          <w:color w:val="000000"/>
          <w:sz w:val="21"/>
          <w:szCs w:val="21"/>
          <w:lang w:eastAsia="zh-CN"/>
        </w:rPr>
        <w:t>s</w:t>
      </w:r>
      <w:r w:rsidRPr="00AA531C">
        <w:rPr>
          <w:rFonts w:ascii="Garamond" w:hAnsi="Garamond" w:cs="Calibri"/>
          <w:color w:val="000000"/>
          <w:sz w:val="21"/>
          <w:szCs w:val="21"/>
          <w:lang w:eastAsia="zh-CN"/>
        </w:rPr>
        <w:t>tandards and Units of Inquiry content.</w:t>
      </w:r>
    </w:p>
    <w:p w14:paraId="65FE43EC" w14:textId="7CEBC7A5" w:rsidR="00E8522B" w:rsidRPr="00AA531C" w:rsidRDefault="00E8522B" w:rsidP="00F3725C">
      <w:pPr>
        <w:pStyle w:val="ListParagraph"/>
        <w:numPr>
          <w:ilvl w:val="0"/>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 xml:space="preserve">Assessments provide authentic and meaningful feedback from which data driven </w:t>
      </w:r>
      <w:r w:rsidR="000820B7">
        <w:rPr>
          <w:rFonts w:ascii="Garamond" w:hAnsi="Garamond" w:cs="Calibri"/>
          <w:color w:val="000000"/>
          <w:sz w:val="21"/>
          <w:szCs w:val="21"/>
          <w:lang w:eastAsia="zh-CN"/>
        </w:rPr>
        <w:t>decisions</w:t>
      </w:r>
      <w:r w:rsidRPr="00AA531C">
        <w:rPr>
          <w:rFonts w:ascii="Garamond" w:hAnsi="Garamond" w:cs="Calibri"/>
          <w:color w:val="000000"/>
          <w:sz w:val="21"/>
          <w:szCs w:val="21"/>
          <w:lang w:eastAsia="zh-CN"/>
        </w:rPr>
        <w:t xml:space="preserve"> may be </w:t>
      </w:r>
      <w:r w:rsidR="000820B7">
        <w:rPr>
          <w:rFonts w:ascii="Garamond" w:hAnsi="Garamond" w:cs="Calibri"/>
          <w:color w:val="000000"/>
          <w:sz w:val="21"/>
          <w:szCs w:val="21"/>
          <w:lang w:eastAsia="zh-CN"/>
        </w:rPr>
        <w:t>made</w:t>
      </w:r>
      <w:r w:rsidRPr="00AA531C">
        <w:rPr>
          <w:rFonts w:ascii="Garamond" w:hAnsi="Garamond" w:cs="Calibri"/>
          <w:color w:val="000000"/>
          <w:sz w:val="21"/>
          <w:szCs w:val="21"/>
          <w:lang w:eastAsia="zh-CN"/>
        </w:rPr>
        <w:t>.</w:t>
      </w:r>
    </w:p>
    <w:p w14:paraId="6AD135C8" w14:textId="4B186FD7" w:rsidR="009B34B0" w:rsidRPr="009B34B0" w:rsidRDefault="00E8522B" w:rsidP="00F3725C">
      <w:pPr>
        <w:pStyle w:val="ListParagraph"/>
        <w:numPr>
          <w:ilvl w:val="0"/>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 xml:space="preserve">Formative assessment tasks are woven throughout the daily learning to provide teachers and students with useful feedback on progress of understanding and application of Florida </w:t>
      </w:r>
      <w:r w:rsidR="00E83DB0">
        <w:rPr>
          <w:rFonts w:ascii="Garamond" w:hAnsi="Garamond" w:cs="Calibri"/>
          <w:color w:val="000000"/>
          <w:sz w:val="21"/>
          <w:szCs w:val="21"/>
          <w:lang w:eastAsia="zh-CN"/>
        </w:rPr>
        <w:t>s</w:t>
      </w:r>
      <w:r w:rsidRPr="00AA531C">
        <w:rPr>
          <w:rFonts w:ascii="Garamond" w:hAnsi="Garamond" w:cs="Calibri"/>
          <w:color w:val="000000"/>
          <w:sz w:val="21"/>
          <w:szCs w:val="21"/>
          <w:lang w:eastAsia="zh-CN"/>
        </w:rPr>
        <w:t xml:space="preserve">tate </w:t>
      </w:r>
      <w:r w:rsidR="00E83DB0">
        <w:rPr>
          <w:rFonts w:ascii="Garamond" w:hAnsi="Garamond" w:cs="Calibri"/>
          <w:color w:val="000000"/>
          <w:sz w:val="21"/>
          <w:szCs w:val="21"/>
          <w:lang w:eastAsia="zh-CN"/>
        </w:rPr>
        <w:t>s</w:t>
      </w:r>
      <w:r w:rsidRPr="00AA531C">
        <w:rPr>
          <w:rFonts w:ascii="Garamond" w:hAnsi="Garamond" w:cs="Calibri"/>
          <w:color w:val="000000"/>
          <w:sz w:val="21"/>
          <w:szCs w:val="21"/>
          <w:lang w:eastAsia="zh-CN"/>
        </w:rPr>
        <w:t xml:space="preserve">tandards and IB </w:t>
      </w:r>
      <w:r w:rsidR="00C46ACB">
        <w:rPr>
          <w:rFonts w:ascii="Garamond" w:hAnsi="Garamond" w:cs="Calibri"/>
          <w:color w:val="000000"/>
          <w:sz w:val="21"/>
          <w:szCs w:val="21"/>
          <w:lang w:eastAsia="zh-CN"/>
        </w:rPr>
        <w:t>Unit of Inquiry Framework</w:t>
      </w:r>
      <w:r w:rsidRPr="00AA531C">
        <w:rPr>
          <w:rFonts w:ascii="Garamond" w:hAnsi="Garamond" w:cs="Calibri"/>
          <w:color w:val="000000"/>
          <w:sz w:val="21"/>
          <w:szCs w:val="21"/>
          <w:lang w:eastAsia="zh-CN"/>
        </w:rPr>
        <w:t>.</w:t>
      </w:r>
      <w:r w:rsidR="00A81C45" w:rsidRPr="00AA531C">
        <w:rPr>
          <w:rFonts w:ascii="Garamond" w:hAnsi="Garamond" w:cs="Calibri"/>
          <w:color w:val="000000"/>
          <w:sz w:val="21"/>
          <w:szCs w:val="21"/>
          <w:lang w:eastAsia="zh-CN"/>
        </w:rPr>
        <w:t xml:space="preserve">  </w:t>
      </w:r>
    </w:p>
    <w:p w14:paraId="6D940771" w14:textId="2AB3F423" w:rsidR="00E8522B" w:rsidRPr="009B2CDA" w:rsidRDefault="00A81C45" w:rsidP="00F3725C">
      <w:pPr>
        <w:pStyle w:val="ListParagraph"/>
        <w:numPr>
          <w:ilvl w:val="0"/>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Summ</w:t>
      </w:r>
      <w:r w:rsidR="00C8253A" w:rsidRPr="00AA531C">
        <w:rPr>
          <w:rFonts w:ascii="Garamond" w:hAnsi="Garamond" w:cs="Calibri"/>
          <w:color w:val="000000"/>
          <w:sz w:val="21"/>
          <w:szCs w:val="21"/>
          <w:lang w:eastAsia="zh-CN"/>
        </w:rPr>
        <w:t xml:space="preserve">ative </w:t>
      </w:r>
      <w:r w:rsidR="009B34B0">
        <w:rPr>
          <w:rFonts w:ascii="Garamond" w:hAnsi="Garamond" w:cs="Calibri"/>
          <w:color w:val="000000"/>
          <w:sz w:val="21"/>
          <w:szCs w:val="21"/>
          <w:lang w:eastAsia="zh-CN"/>
        </w:rPr>
        <w:t>assessment</w:t>
      </w:r>
      <w:r w:rsidR="00136E18">
        <w:rPr>
          <w:rFonts w:ascii="Garamond" w:hAnsi="Garamond" w:cs="Calibri"/>
          <w:color w:val="000000"/>
          <w:sz w:val="21"/>
          <w:szCs w:val="21"/>
          <w:lang w:eastAsia="zh-CN"/>
        </w:rPr>
        <w:t xml:space="preserve">s are used to assess </w:t>
      </w:r>
      <w:r w:rsidR="009B2CDA">
        <w:rPr>
          <w:rFonts w:ascii="Garamond" w:hAnsi="Garamond" w:cs="Calibri"/>
          <w:color w:val="000000"/>
          <w:sz w:val="21"/>
          <w:szCs w:val="21"/>
          <w:lang w:eastAsia="zh-CN"/>
        </w:rPr>
        <w:t>both units of inquiry and Florida State Standards</w:t>
      </w:r>
      <w:r w:rsidRPr="00AA531C">
        <w:rPr>
          <w:rFonts w:ascii="Garamond" w:hAnsi="Garamond" w:cs="Calibri"/>
          <w:color w:val="000000"/>
          <w:sz w:val="21"/>
          <w:szCs w:val="21"/>
          <w:lang w:eastAsia="zh-CN"/>
        </w:rPr>
        <w:t xml:space="preserve">.  Summative assessments are also </w:t>
      </w:r>
      <w:proofErr w:type="gramStart"/>
      <w:r w:rsidRPr="00AA531C">
        <w:rPr>
          <w:rFonts w:ascii="Garamond" w:hAnsi="Garamond" w:cs="Calibri"/>
          <w:color w:val="000000"/>
          <w:sz w:val="21"/>
          <w:szCs w:val="21"/>
          <w:lang w:eastAsia="zh-CN"/>
        </w:rPr>
        <w:t>value</w:t>
      </w:r>
      <w:proofErr w:type="gramEnd"/>
      <w:r w:rsidRPr="00AA531C">
        <w:rPr>
          <w:rFonts w:ascii="Garamond" w:hAnsi="Garamond" w:cs="Calibri"/>
          <w:color w:val="000000"/>
          <w:sz w:val="21"/>
          <w:szCs w:val="21"/>
          <w:lang w:eastAsia="zh-CN"/>
        </w:rPr>
        <w:t xml:space="preserve"> tools for reporting the effectiveness of synthesis and application of their learning.</w:t>
      </w:r>
    </w:p>
    <w:p w14:paraId="0BF324F2" w14:textId="7F073A94" w:rsidR="009B2CDA" w:rsidRPr="00AA531C" w:rsidRDefault="009B2CDA" w:rsidP="00F3725C">
      <w:pPr>
        <w:pStyle w:val="ListParagraph"/>
        <w:numPr>
          <w:ilvl w:val="0"/>
          <w:numId w:val="5"/>
        </w:numPr>
        <w:spacing w:after="0" w:line="240" w:lineRule="auto"/>
        <w:rPr>
          <w:rFonts w:ascii="Garamond" w:hAnsi="Garamond"/>
          <w:b/>
          <w:sz w:val="21"/>
          <w:szCs w:val="21"/>
          <w:u w:val="single"/>
        </w:rPr>
      </w:pPr>
      <w:r>
        <w:rPr>
          <w:rFonts w:ascii="Garamond" w:hAnsi="Garamond" w:cs="Calibri"/>
          <w:color w:val="000000"/>
          <w:sz w:val="21"/>
          <w:szCs w:val="21"/>
          <w:lang w:eastAsia="zh-CN"/>
        </w:rPr>
        <w:t xml:space="preserve">Adaptive assessments are used to </w:t>
      </w:r>
      <w:r w:rsidR="00315BD9">
        <w:rPr>
          <w:rFonts w:ascii="Garamond" w:hAnsi="Garamond" w:cs="Calibri"/>
          <w:color w:val="000000"/>
          <w:sz w:val="21"/>
          <w:szCs w:val="21"/>
          <w:lang w:eastAsia="zh-CN"/>
        </w:rPr>
        <w:t>monitor progress over time</w:t>
      </w:r>
      <w:r w:rsidR="00E83DB0">
        <w:rPr>
          <w:rFonts w:ascii="Garamond" w:hAnsi="Garamond" w:cs="Calibri"/>
          <w:color w:val="000000"/>
          <w:sz w:val="21"/>
          <w:szCs w:val="21"/>
          <w:lang w:eastAsia="zh-CN"/>
        </w:rPr>
        <w:t xml:space="preserve"> towards mastery of Florida state standards</w:t>
      </w:r>
      <w:r w:rsidR="00315BD9">
        <w:rPr>
          <w:rFonts w:ascii="Garamond" w:hAnsi="Garamond" w:cs="Calibri"/>
          <w:color w:val="000000"/>
          <w:sz w:val="21"/>
          <w:szCs w:val="21"/>
          <w:lang w:eastAsia="zh-CN"/>
        </w:rPr>
        <w:t xml:space="preserve">. Students are assessed three times per year </w:t>
      </w:r>
      <w:proofErr w:type="gramStart"/>
      <w:r w:rsidR="00315BD9">
        <w:rPr>
          <w:rFonts w:ascii="Garamond" w:hAnsi="Garamond" w:cs="Calibri"/>
          <w:color w:val="000000"/>
          <w:sz w:val="21"/>
          <w:szCs w:val="21"/>
          <w:lang w:eastAsia="zh-CN"/>
        </w:rPr>
        <w:t>in the area of</w:t>
      </w:r>
      <w:proofErr w:type="gramEnd"/>
      <w:r w:rsidR="00315BD9">
        <w:rPr>
          <w:rFonts w:ascii="Garamond" w:hAnsi="Garamond" w:cs="Calibri"/>
          <w:color w:val="000000"/>
          <w:sz w:val="21"/>
          <w:szCs w:val="21"/>
          <w:lang w:eastAsia="zh-CN"/>
        </w:rPr>
        <w:t xml:space="preserve"> reading, math, and science</w:t>
      </w:r>
      <w:r w:rsidR="00E83DB0">
        <w:rPr>
          <w:rFonts w:ascii="Garamond" w:hAnsi="Garamond" w:cs="Calibri"/>
          <w:color w:val="000000"/>
          <w:sz w:val="21"/>
          <w:szCs w:val="21"/>
          <w:lang w:eastAsia="zh-CN"/>
        </w:rPr>
        <w:t xml:space="preserve"> (3</w:t>
      </w:r>
      <w:r w:rsidR="00E83DB0" w:rsidRPr="00E83DB0">
        <w:rPr>
          <w:rFonts w:ascii="Garamond" w:hAnsi="Garamond" w:cs="Calibri"/>
          <w:color w:val="000000"/>
          <w:sz w:val="21"/>
          <w:szCs w:val="21"/>
          <w:vertAlign w:val="superscript"/>
          <w:lang w:eastAsia="zh-CN"/>
        </w:rPr>
        <w:t>rd</w:t>
      </w:r>
      <w:r w:rsidR="00E83DB0">
        <w:rPr>
          <w:rFonts w:ascii="Garamond" w:hAnsi="Garamond" w:cs="Calibri"/>
          <w:color w:val="000000"/>
          <w:sz w:val="21"/>
          <w:szCs w:val="21"/>
          <w:lang w:eastAsia="zh-CN"/>
        </w:rPr>
        <w:t>-5</w:t>
      </w:r>
      <w:r w:rsidR="00E83DB0" w:rsidRPr="00E83DB0">
        <w:rPr>
          <w:rFonts w:ascii="Garamond" w:hAnsi="Garamond" w:cs="Calibri"/>
          <w:color w:val="000000"/>
          <w:sz w:val="21"/>
          <w:szCs w:val="21"/>
          <w:vertAlign w:val="superscript"/>
          <w:lang w:eastAsia="zh-CN"/>
        </w:rPr>
        <w:t>th</w:t>
      </w:r>
      <w:r w:rsidR="00E83DB0">
        <w:rPr>
          <w:rFonts w:ascii="Garamond" w:hAnsi="Garamond" w:cs="Calibri"/>
          <w:color w:val="000000"/>
          <w:sz w:val="21"/>
          <w:szCs w:val="21"/>
          <w:lang w:eastAsia="zh-CN"/>
        </w:rPr>
        <w:t xml:space="preserve"> only)</w:t>
      </w:r>
    </w:p>
    <w:p w14:paraId="369CEC52" w14:textId="7B913030" w:rsidR="0046238E" w:rsidRPr="00AA531C" w:rsidRDefault="0046238E" w:rsidP="00F3725C">
      <w:pPr>
        <w:pStyle w:val="ListParagraph"/>
        <w:numPr>
          <w:ilvl w:val="0"/>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Tools for formative and summative assessments include, but are not limited to:</w:t>
      </w:r>
    </w:p>
    <w:p w14:paraId="3D22CFF8" w14:textId="72F6E75D"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Rubrics</w:t>
      </w:r>
    </w:p>
    <w:p w14:paraId="0BF28C24" w14:textId="2E63456A"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Checklists</w:t>
      </w:r>
    </w:p>
    <w:p w14:paraId="0516D406" w14:textId="4F0FDB77"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Tests, quizzes</w:t>
      </w:r>
    </w:p>
    <w:p w14:paraId="2A334080" w14:textId="6F3C0558"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Journal reflections</w:t>
      </w:r>
    </w:p>
    <w:p w14:paraId="0B3E4725" w14:textId="35D89A22"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Guided responses</w:t>
      </w:r>
    </w:p>
    <w:p w14:paraId="6CA5F5EE" w14:textId="2D2BECCF"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Self and peer assessments</w:t>
      </w:r>
    </w:p>
    <w:p w14:paraId="519DC8C4" w14:textId="71D14E58"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Graphic organizers</w:t>
      </w:r>
    </w:p>
    <w:p w14:paraId="0928805E" w14:textId="68368AAF"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Observations/anecdotal records</w:t>
      </w:r>
    </w:p>
    <w:p w14:paraId="05B768A7" w14:textId="54AC3476"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Performance tasks</w:t>
      </w:r>
    </w:p>
    <w:p w14:paraId="6D656570" w14:textId="6A7C5FCC"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Visible thinking strategies</w:t>
      </w:r>
    </w:p>
    <w:p w14:paraId="338AAF85" w14:textId="40AA4C80" w:rsidR="0046238E" w:rsidRPr="00AA531C" w:rsidRDefault="0046238E"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One-on-one conferences</w:t>
      </w:r>
    </w:p>
    <w:p w14:paraId="42945FEB" w14:textId="4DA784D3" w:rsidR="00D62010" w:rsidRPr="00AA531C" w:rsidRDefault="00D62010" w:rsidP="00F3725C">
      <w:pPr>
        <w:pStyle w:val="ListParagraph"/>
        <w:numPr>
          <w:ilvl w:val="1"/>
          <w:numId w:val="5"/>
        </w:numPr>
        <w:spacing w:after="0" w:line="240" w:lineRule="auto"/>
        <w:rPr>
          <w:rFonts w:ascii="Garamond" w:hAnsi="Garamond"/>
          <w:b/>
          <w:sz w:val="21"/>
          <w:szCs w:val="21"/>
          <w:u w:val="single"/>
        </w:rPr>
      </w:pPr>
      <w:r w:rsidRPr="00AA531C">
        <w:rPr>
          <w:rFonts w:ascii="Garamond" w:hAnsi="Garamond" w:cs="Calibri"/>
          <w:color w:val="000000"/>
          <w:sz w:val="21"/>
          <w:szCs w:val="21"/>
          <w:lang w:eastAsia="zh-CN"/>
        </w:rPr>
        <w:t>Process-focused assessments</w:t>
      </w:r>
    </w:p>
    <w:p w14:paraId="6EF7D4EC" w14:textId="77777777" w:rsidR="00F3725C" w:rsidRPr="00AA531C" w:rsidRDefault="00F3725C" w:rsidP="00F3725C">
      <w:pPr>
        <w:spacing w:after="0" w:line="240" w:lineRule="auto"/>
        <w:rPr>
          <w:rFonts w:ascii="Garamond" w:eastAsia="Times New Roman" w:hAnsi="Garamond"/>
          <w:b/>
          <w:bCs/>
          <w:sz w:val="21"/>
          <w:szCs w:val="21"/>
        </w:rPr>
      </w:pPr>
    </w:p>
    <w:p w14:paraId="660D8887" w14:textId="34B047A3" w:rsidR="00EB5353" w:rsidRPr="00AA531C" w:rsidRDefault="00EB5353" w:rsidP="00F3725C">
      <w:pPr>
        <w:spacing w:after="0" w:line="240" w:lineRule="auto"/>
        <w:rPr>
          <w:rFonts w:ascii="Garamond" w:eastAsia="Times New Roman" w:hAnsi="Garamond"/>
          <w:sz w:val="21"/>
          <w:szCs w:val="21"/>
        </w:rPr>
      </w:pPr>
      <w:r w:rsidRPr="00AA531C">
        <w:rPr>
          <w:rFonts w:ascii="Garamond" w:eastAsia="Times New Roman" w:hAnsi="Garamond"/>
          <w:b/>
          <w:bCs/>
          <w:sz w:val="21"/>
          <w:szCs w:val="21"/>
        </w:rPr>
        <w:t xml:space="preserve">State Mandated Assessments </w:t>
      </w:r>
    </w:p>
    <w:p w14:paraId="638DA8F6" w14:textId="320F2A44" w:rsidR="00EB5353" w:rsidRPr="00AA531C" w:rsidRDefault="00F3725C" w:rsidP="00F3725C">
      <w:pPr>
        <w:pStyle w:val="ListParagraph"/>
        <w:numPr>
          <w:ilvl w:val="0"/>
          <w:numId w:val="11"/>
        </w:numPr>
        <w:spacing w:after="0" w:line="240" w:lineRule="auto"/>
        <w:rPr>
          <w:rFonts w:ascii="Garamond" w:eastAsia="Times New Roman" w:hAnsi="Garamond"/>
          <w:sz w:val="21"/>
          <w:szCs w:val="21"/>
        </w:rPr>
      </w:pPr>
      <w:r w:rsidRPr="00AA531C">
        <w:rPr>
          <w:rFonts w:ascii="Garamond" w:eastAsia="Times New Roman" w:hAnsi="Garamond"/>
          <w:sz w:val="21"/>
          <w:szCs w:val="21"/>
        </w:rPr>
        <w:t>WIDA</w:t>
      </w:r>
      <w:r w:rsidR="00EB5353" w:rsidRPr="00AA531C">
        <w:rPr>
          <w:rFonts w:ascii="Garamond" w:eastAsia="Times New Roman" w:hAnsi="Garamond"/>
          <w:sz w:val="21"/>
          <w:szCs w:val="21"/>
        </w:rPr>
        <w:br/>
        <w:t xml:space="preserve">Any child who has language other than English spoken in the home is required to receive a language placement test upon entering the district. Children categorized as limited English proficient must be given the </w:t>
      </w:r>
      <w:r w:rsidRPr="00AA531C">
        <w:rPr>
          <w:rFonts w:ascii="Garamond" w:eastAsia="Times New Roman" w:hAnsi="Garamond"/>
          <w:sz w:val="21"/>
          <w:szCs w:val="21"/>
        </w:rPr>
        <w:t>WIDA</w:t>
      </w:r>
      <w:r w:rsidR="00EB5353" w:rsidRPr="00AA531C">
        <w:rPr>
          <w:rFonts w:ascii="Garamond" w:eastAsia="Times New Roman" w:hAnsi="Garamond"/>
          <w:sz w:val="21"/>
          <w:szCs w:val="21"/>
        </w:rPr>
        <w:t xml:space="preserve"> test every March –April until they are considered fluent English proficient. The results of this test are sent to parents at the end of each year. Teachers use the results to determine language proficiency levels and individualize instruction to meet the needs of their second language students. </w:t>
      </w:r>
    </w:p>
    <w:p w14:paraId="5F263081" w14:textId="18057D05" w:rsidR="00EB5353" w:rsidRPr="00AA531C" w:rsidRDefault="001A0CE8" w:rsidP="00792804">
      <w:pPr>
        <w:pStyle w:val="ListParagraph"/>
        <w:numPr>
          <w:ilvl w:val="0"/>
          <w:numId w:val="11"/>
        </w:numPr>
        <w:spacing w:after="0" w:line="240" w:lineRule="auto"/>
        <w:rPr>
          <w:rFonts w:ascii="Garamond" w:eastAsia="Times New Roman" w:hAnsi="Garamond"/>
          <w:color w:val="000000" w:themeColor="text1"/>
          <w:sz w:val="21"/>
          <w:szCs w:val="21"/>
        </w:rPr>
      </w:pPr>
      <w:r>
        <w:rPr>
          <w:rFonts w:ascii="Garamond" w:eastAsia="Times New Roman" w:hAnsi="Garamond"/>
          <w:color w:val="000000" w:themeColor="text1"/>
          <w:sz w:val="21"/>
          <w:szCs w:val="21"/>
        </w:rPr>
        <w:t>Florida Benchmark</w:t>
      </w:r>
      <w:r w:rsidR="005E1585">
        <w:rPr>
          <w:rFonts w:ascii="Garamond" w:eastAsia="Times New Roman" w:hAnsi="Garamond"/>
          <w:color w:val="000000" w:themeColor="text1"/>
          <w:sz w:val="21"/>
          <w:szCs w:val="21"/>
        </w:rPr>
        <w:t>s for Excellent Student Thinking (B.E.S.T)</w:t>
      </w:r>
      <w:r w:rsidR="00792804" w:rsidRPr="00AA531C">
        <w:rPr>
          <w:rFonts w:ascii="Garamond" w:eastAsia="Times New Roman" w:hAnsi="Garamond"/>
          <w:color w:val="000000" w:themeColor="text1"/>
          <w:sz w:val="21"/>
          <w:szCs w:val="21"/>
        </w:rPr>
        <w:t xml:space="preserve"> </w:t>
      </w:r>
      <w:r w:rsidR="00792804" w:rsidRPr="00AA531C">
        <w:rPr>
          <w:rFonts w:ascii="Garamond" w:eastAsia="Times New Roman" w:hAnsi="Garamond" w:cs="Lucida Sans Unicode"/>
          <w:color w:val="000000" w:themeColor="text1"/>
          <w:sz w:val="21"/>
          <w:szCs w:val="21"/>
          <w:shd w:val="clear" w:color="auto" w:fill="FFFFFF"/>
        </w:rPr>
        <w:t>Florida’s K-12 assessment system measures students’ achievement of Florida’s education standards, which were developed and implemented to ensure that all students graduate from high school ready for success in college, career, and life. </w:t>
      </w:r>
    </w:p>
    <w:p w14:paraId="138E2C71" w14:textId="5491F0A5" w:rsidR="003A4463" w:rsidRDefault="003A4463" w:rsidP="00F3725C">
      <w:pPr>
        <w:pStyle w:val="ListParagraph"/>
        <w:numPr>
          <w:ilvl w:val="1"/>
          <w:numId w:val="11"/>
        </w:numPr>
        <w:spacing w:after="0" w:line="240" w:lineRule="auto"/>
        <w:rPr>
          <w:rFonts w:ascii="Garamond" w:eastAsia="Times New Roman" w:hAnsi="Garamond"/>
          <w:sz w:val="21"/>
          <w:szCs w:val="21"/>
        </w:rPr>
      </w:pPr>
      <w:r>
        <w:rPr>
          <w:rFonts w:ascii="Garamond" w:eastAsia="Times New Roman" w:hAnsi="Garamond"/>
          <w:sz w:val="21"/>
          <w:szCs w:val="21"/>
        </w:rPr>
        <w:lastRenderedPageBreak/>
        <w:t>STAR Early Literacy (K-1</w:t>
      </w:r>
      <w:r w:rsidR="00315687" w:rsidRPr="00315687">
        <w:rPr>
          <w:rFonts w:ascii="Garamond" w:eastAsia="Times New Roman" w:hAnsi="Garamond"/>
          <w:sz w:val="21"/>
          <w:szCs w:val="21"/>
          <w:vertAlign w:val="superscript"/>
        </w:rPr>
        <w:t>st</w:t>
      </w:r>
      <w:r>
        <w:rPr>
          <w:rFonts w:ascii="Garamond" w:eastAsia="Times New Roman" w:hAnsi="Garamond"/>
          <w:sz w:val="21"/>
          <w:szCs w:val="21"/>
        </w:rPr>
        <w:t>)</w:t>
      </w:r>
    </w:p>
    <w:p w14:paraId="66FCE9C5" w14:textId="6FE9498F" w:rsidR="003A4463" w:rsidRDefault="003A4463" w:rsidP="00F3725C">
      <w:pPr>
        <w:pStyle w:val="ListParagraph"/>
        <w:numPr>
          <w:ilvl w:val="1"/>
          <w:numId w:val="11"/>
        </w:numPr>
        <w:spacing w:after="0" w:line="240" w:lineRule="auto"/>
        <w:rPr>
          <w:rFonts w:ascii="Garamond" w:eastAsia="Times New Roman" w:hAnsi="Garamond"/>
          <w:sz w:val="21"/>
          <w:szCs w:val="21"/>
        </w:rPr>
      </w:pPr>
      <w:r>
        <w:rPr>
          <w:rFonts w:ascii="Garamond" w:eastAsia="Times New Roman" w:hAnsi="Garamond"/>
          <w:sz w:val="21"/>
          <w:szCs w:val="21"/>
        </w:rPr>
        <w:t>STAR Reading (</w:t>
      </w:r>
      <w:r w:rsidR="00315687">
        <w:rPr>
          <w:rFonts w:ascii="Garamond" w:eastAsia="Times New Roman" w:hAnsi="Garamond"/>
          <w:sz w:val="21"/>
          <w:szCs w:val="21"/>
        </w:rPr>
        <w:t>2</w:t>
      </w:r>
      <w:r w:rsidR="00315687" w:rsidRPr="00315687">
        <w:rPr>
          <w:rFonts w:ascii="Garamond" w:eastAsia="Times New Roman" w:hAnsi="Garamond"/>
          <w:sz w:val="21"/>
          <w:szCs w:val="21"/>
          <w:vertAlign w:val="superscript"/>
        </w:rPr>
        <w:t>nd</w:t>
      </w:r>
      <w:r w:rsidR="00315687">
        <w:rPr>
          <w:rFonts w:ascii="Garamond" w:eastAsia="Times New Roman" w:hAnsi="Garamond"/>
          <w:sz w:val="21"/>
          <w:szCs w:val="21"/>
        </w:rPr>
        <w:t>)</w:t>
      </w:r>
    </w:p>
    <w:p w14:paraId="650F43AD" w14:textId="58460ECC" w:rsidR="00EB5353" w:rsidRPr="00AA531C" w:rsidRDefault="00EB5353" w:rsidP="00F3725C">
      <w:pPr>
        <w:pStyle w:val="ListParagraph"/>
        <w:numPr>
          <w:ilvl w:val="1"/>
          <w:numId w:val="11"/>
        </w:numPr>
        <w:spacing w:after="0" w:line="240" w:lineRule="auto"/>
        <w:rPr>
          <w:rFonts w:ascii="Garamond" w:eastAsia="Times New Roman" w:hAnsi="Garamond"/>
          <w:sz w:val="21"/>
          <w:szCs w:val="21"/>
        </w:rPr>
      </w:pPr>
      <w:r w:rsidRPr="00AA531C">
        <w:rPr>
          <w:rFonts w:ascii="Garamond" w:eastAsia="Times New Roman" w:hAnsi="Garamond"/>
          <w:sz w:val="21"/>
          <w:szCs w:val="21"/>
        </w:rPr>
        <w:t>Writing (Grades 4</w:t>
      </w:r>
      <w:r w:rsidR="00315687" w:rsidRPr="00315687">
        <w:rPr>
          <w:rFonts w:ascii="Garamond" w:eastAsia="Times New Roman" w:hAnsi="Garamond"/>
          <w:sz w:val="21"/>
          <w:szCs w:val="21"/>
          <w:vertAlign w:val="superscript"/>
        </w:rPr>
        <w:t>th</w:t>
      </w:r>
      <w:r w:rsidR="00315687">
        <w:rPr>
          <w:rFonts w:ascii="Garamond" w:eastAsia="Times New Roman" w:hAnsi="Garamond"/>
          <w:sz w:val="21"/>
          <w:szCs w:val="21"/>
        </w:rPr>
        <w:t>-</w:t>
      </w:r>
      <w:r w:rsidRPr="00AA531C">
        <w:rPr>
          <w:rFonts w:ascii="Garamond" w:eastAsia="Times New Roman" w:hAnsi="Garamond"/>
          <w:sz w:val="21"/>
          <w:szCs w:val="21"/>
        </w:rPr>
        <w:t>5</w:t>
      </w:r>
      <w:r w:rsidR="00315687" w:rsidRPr="00315687">
        <w:rPr>
          <w:rFonts w:ascii="Garamond" w:eastAsia="Times New Roman" w:hAnsi="Garamond"/>
          <w:sz w:val="21"/>
          <w:szCs w:val="21"/>
          <w:vertAlign w:val="superscript"/>
        </w:rPr>
        <w:t>th</w:t>
      </w:r>
      <w:r w:rsidRPr="00AA531C">
        <w:rPr>
          <w:rFonts w:ascii="Garamond" w:eastAsia="Times New Roman" w:hAnsi="Garamond"/>
          <w:sz w:val="21"/>
          <w:szCs w:val="21"/>
        </w:rPr>
        <w:t xml:space="preserve">) </w:t>
      </w:r>
    </w:p>
    <w:p w14:paraId="1A867463" w14:textId="5ED09356" w:rsidR="00EB5353" w:rsidRPr="00AA531C" w:rsidRDefault="00EB5353" w:rsidP="00F3725C">
      <w:pPr>
        <w:pStyle w:val="ListParagraph"/>
        <w:numPr>
          <w:ilvl w:val="1"/>
          <w:numId w:val="11"/>
        </w:numPr>
        <w:spacing w:after="0" w:line="240" w:lineRule="auto"/>
        <w:rPr>
          <w:rFonts w:ascii="Garamond" w:eastAsia="Times New Roman" w:hAnsi="Garamond"/>
          <w:sz w:val="21"/>
          <w:szCs w:val="21"/>
        </w:rPr>
      </w:pPr>
      <w:r w:rsidRPr="00AA531C">
        <w:rPr>
          <w:rFonts w:ascii="Garamond" w:eastAsia="Times New Roman" w:hAnsi="Garamond"/>
          <w:sz w:val="21"/>
          <w:szCs w:val="21"/>
        </w:rPr>
        <w:t xml:space="preserve">Reading (Grades </w:t>
      </w:r>
      <w:r w:rsidR="005E1585">
        <w:rPr>
          <w:rFonts w:ascii="Garamond" w:eastAsia="Times New Roman" w:hAnsi="Garamond"/>
          <w:sz w:val="21"/>
          <w:szCs w:val="21"/>
        </w:rPr>
        <w:t>3</w:t>
      </w:r>
      <w:r w:rsidR="00315687" w:rsidRPr="00315687">
        <w:rPr>
          <w:rFonts w:ascii="Garamond" w:eastAsia="Times New Roman" w:hAnsi="Garamond"/>
          <w:sz w:val="21"/>
          <w:szCs w:val="21"/>
          <w:vertAlign w:val="superscript"/>
        </w:rPr>
        <w:t>rd</w:t>
      </w:r>
      <w:r w:rsidRPr="00AA531C">
        <w:rPr>
          <w:rFonts w:ascii="Garamond" w:eastAsia="Times New Roman" w:hAnsi="Garamond"/>
          <w:sz w:val="21"/>
          <w:szCs w:val="21"/>
        </w:rPr>
        <w:t>– 5</w:t>
      </w:r>
      <w:r w:rsidR="00315687" w:rsidRPr="00315687">
        <w:rPr>
          <w:rFonts w:ascii="Garamond" w:eastAsia="Times New Roman" w:hAnsi="Garamond"/>
          <w:sz w:val="21"/>
          <w:szCs w:val="21"/>
          <w:vertAlign w:val="superscript"/>
        </w:rPr>
        <w:t>th</w:t>
      </w:r>
      <w:r w:rsidRPr="00AA531C">
        <w:rPr>
          <w:rFonts w:ascii="Garamond" w:eastAsia="Times New Roman" w:hAnsi="Garamond"/>
          <w:sz w:val="21"/>
          <w:szCs w:val="21"/>
        </w:rPr>
        <w:t xml:space="preserve">) </w:t>
      </w:r>
    </w:p>
    <w:p w14:paraId="14AF7760" w14:textId="3CDDBD07" w:rsidR="00EB5353" w:rsidRPr="00AA531C" w:rsidRDefault="00EB5353" w:rsidP="00F3725C">
      <w:pPr>
        <w:pStyle w:val="ListParagraph"/>
        <w:numPr>
          <w:ilvl w:val="1"/>
          <w:numId w:val="11"/>
        </w:numPr>
        <w:spacing w:after="0" w:line="240" w:lineRule="auto"/>
        <w:rPr>
          <w:rFonts w:ascii="Garamond" w:eastAsia="Times New Roman" w:hAnsi="Garamond"/>
          <w:sz w:val="21"/>
          <w:szCs w:val="21"/>
        </w:rPr>
      </w:pPr>
      <w:r w:rsidRPr="00AA531C">
        <w:rPr>
          <w:rFonts w:ascii="Garamond" w:eastAsia="Times New Roman" w:hAnsi="Garamond"/>
          <w:sz w:val="21"/>
          <w:szCs w:val="21"/>
        </w:rPr>
        <w:t xml:space="preserve">Mathematics (Grades </w:t>
      </w:r>
      <w:r w:rsidR="005E1585">
        <w:rPr>
          <w:rFonts w:ascii="Garamond" w:eastAsia="Times New Roman" w:hAnsi="Garamond"/>
          <w:sz w:val="21"/>
          <w:szCs w:val="21"/>
        </w:rPr>
        <w:t>3</w:t>
      </w:r>
      <w:r w:rsidR="00315687" w:rsidRPr="00315687">
        <w:rPr>
          <w:rFonts w:ascii="Garamond" w:eastAsia="Times New Roman" w:hAnsi="Garamond"/>
          <w:sz w:val="21"/>
          <w:szCs w:val="21"/>
          <w:vertAlign w:val="superscript"/>
        </w:rPr>
        <w:t>rd</w:t>
      </w:r>
      <w:r w:rsidRPr="00AA531C">
        <w:rPr>
          <w:rFonts w:ascii="Garamond" w:eastAsia="Times New Roman" w:hAnsi="Garamond"/>
          <w:sz w:val="21"/>
          <w:szCs w:val="21"/>
        </w:rPr>
        <w:t xml:space="preserve"> – 5</w:t>
      </w:r>
      <w:r w:rsidR="00315687" w:rsidRPr="00315687">
        <w:rPr>
          <w:rFonts w:ascii="Garamond" w:eastAsia="Times New Roman" w:hAnsi="Garamond"/>
          <w:sz w:val="21"/>
          <w:szCs w:val="21"/>
          <w:vertAlign w:val="superscript"/>
        </w:rPr>
        <w:t>th</w:t>
      </w:r>
      <w:r w:rsidRPr="00AA531C">
        <w:rPr>
          <w:rFonts w:ascii="Garamond" w:eastAsia="Times New Roman" w:hAnsi="Garamond"/>
          <w:sz w:val="21"/>
          <w:szCs w:val="21"/>
        </w:rPr>
        <w:t xml:space="preserve">) </w:t>
      </w:r>
    </w:p>
    <w:p w14:paraId="35DA298C" w14:textId="7D1EE556" w:rsidR="000738D4" w:rsidRPr="00AA531C" w:rsidRDefault="005C1BBE" w:rsidP="000738D4">
      <w:pPr>
        <w:pStyle w:val="ListParagraph"/>
        <w:numPr>
          <w:ilvl w:val="0"/>
          <w:numId w:val="12"/>
        </w:numPr>
        <w:spacing w:after="0" w:line="240" w:lineRule="auto"/>
        <w:rPr>
          <w:rFonts w:ascii="Garamond" w:eastAsia="Times New Roman" w:hAnsi="Garamond"/>
          <w:sz w:val="21"/>
          <w:szCs w:val="21"/>
        </w:rPr>
      </w:pPr>
      <w:r>
        <w:rPr>
          <w:rFonts w:ascii="Garamond" w:eastAsia="Times New Roman" w:hAnsi="Garamond"/>
          <w:sz w:val="21"/>
          <w:szCs w:val="21"/>
        </w:rPr>
        <w:t>State</w:t>
      </w:r>
      <w:r w:rsidR="00EB5353" w:rsidRPr="00AA531C">
        <w:rPr>
          <w:rFonts w:ascii="Garamond" w:eastAsia="Times New Roman" w:hAnsi="Garamond"/>
          <w:sz w:val="21"/>
          <w:szCs w:val="21"/>
        </w:rPr>
        <w:t xml:space="preserve"> Science</w:t>
      </w:r>
      <w:r>
        <w:rPr>
          <w:rFonts w:ascii="Garamond" w:eastAsia="Times New Roman" w:hAnsi="Garamond"/>
          <w:sz w:val="21"/>
          <w:szCs w:val="21"/>
        </w:rPr>
        <w:t xml:space="preserve"> Assessment (SSA)</w:t>
      </w:r>
      <w:r w:rsidR="00EB5353" w:rsidRPr="00AA531C">
        <w:rPr>
          <w:rFonts w:ascii="Garamond" w:eastAsia="Times New Roman" w:hAnsi="Garamond"/>
          <w:sz w:val="21"/>
          <w:szCs w:val="21"/>
        </w:rPr>
        <w:t xml:space="preserve"> (Grade 5)</w:t>
      </w:r>
      <w:r>
        <w:rPr>
          <w:rFonts w:ascii="Garamond" w:eastAsia="Times New Roman" w:hAnsi="Garamond"/>
          <w:sz w:val="21"/>
          <w:szCs w:val="21"/>
        </w:rPr>
        <w:t xml:space="preserve">- </w:t>
      </w:r>
      <w:r w:rsidR="004842A3">
        <w:rPr>
          <w:rFonts w:ascii="Garamond" w:eastAsia="Times New Roman" w:hAnsi="Garamond"/>
          <w:sz w:val="21"/>
          <w:szCs w:val="21"/>
        </w:rPr>
        <w:t>Florida’s science assessment that begins in 5</w:t>
      </w:r>
      <w:r w:rsidR="004842A3" w:rsidRPr="004842A3">
        <w:rPr>
          <w:rFonts w:ascii="Garamond" w:eastAsia="Times New Roman" w:hAnsi="Garamond"/>
          <w:sz w:val="21"/>
          <w:szCs w:val="21"/>
          <w:vertAlign w:val="superscript"/>
        </w:rPr>
        <w:t>th</w:t>
      </w:r>
      <w:r w:rsidR="004842A3">
        <w:rPr>
          <w:rFonts w:ascii="Garamond" w:eastAsia="Times New Roman" w:hAnsi="Garamond"/>
          <w:sz w:val="21"/>
          <w:szCs w:val="21"/>
        </w:rPr>
        <w:t xml:space="preserve"> grade and assesses state science standards from 3</w:t>
      </w:r>
      <w:r w:rsidR="004842A3" w:rsidRPr="004842A3">
        <w:rPr>
          <w:rFonts w:ascii="Garamond" w:eastAsia="Times New Roman" w:hAnsi="Garamond"/>
          <w:sz w:val="21"/>
          <w:szCs w:val="21"/>
          <w:vertAlign w:val="superscript"/>
        </w:rPr>
        <w:t>rd</w:t>
      </w:r>
      <w:r w:rsidR="004842A3">
        <w:rPr>
          <w:rFonts w:ascii="Garamond" w:eastAsia="Times New Roman" w:hAnsi="Garamond"/>
          <w:sz w:val="21"/>
          <w:szCs w:val="21"/>
        </w:rPr>
        <w:t>-5</w:t>
      </w:r>
      <w:r w:rsidR="004842A3" w:rsidRPr="004842A3">
        <w:rPr>
          <w:rFonts w:ascii="Garamond" w:eastAsia="Times New Roman" w:hAnsi="Garamond"/>
          <w:sz w:val="21"/>
          <w:szCs w:val="21"/>
          <w:vertAlign w:val="superscript"/>
        </w:rPr>
        <w:t>th</w:t>
      </w:r>
      <w:r w:rsidR="004842A3">
        <w:rPr>
          <w:rFonts w:ascii="Garamond" w:eastAsia="Times New Roman" w:hAnsi="Garamond"/>
          <w:sz w:val="21"/>
          <w:szCs w:val="21"/>
        </w:rPr>
        <w:t xml:space="preserve"> grade. </w:t>
      </w:r>
    </w:p>
    <w:p w14:paraId="0C8548CD" w14:textId="7174CB41" w:rsidR="00792804" w:rsidRPr="00AA531C" w:rsidRDefault="000738D4" w:rsidP="00792804">
      <w:pPr>
        <w:pStyle w:val="ListParagraph"/>
        <w:numPr>
          <w:ilvl w:val="0"/>
          <w:numId w:val="12"/>
        </w:numPr>
        <w:spacing w:after="0" w:line="240" w:lineRule="auto"/>
        <w:rPr>
          <w:rFonts w:ascii="Garamond" w:eastAsia="Times New Roman" w:hAnsi="Garamond"/>
          <w:sz w:val="21"/>
          <w:szCs w:val="21"/>
        </w:rPr>
      </w:pPr>
      <w:r w:rsidRPr="00AA531C">
        <w:rPr>
          <w:rFonts w:ascii="Garamond" w:eastAsia="Times New Roman" w:hAnsi="Garamond"/>
          <w:sz w:val="21"/>
          <w:szCs w:val="21"/>
        </w:rPr>
        <w:t>Florida Standards Alternate Assessment</w:t>
      </w:r>
      <w:r w:rsidR="00792804" w:rsidRPr="00AA531C">
        <w:rPr>
          <w:rFonts w:ascii="Garamond" w:eastAsia="Times New Roman" w:hAnsi="Garamond"/>
          <w:sz w:val="21"/>
          <w:szCs w:val="21"/>
        </w:rPr>
        <w:t xml:space="preserve">: </w:t>
      </w:r>
      <w:r w:rsidR="00792804" w:rsidRPr="00AA531C">
        <w:rPr>
          <w:rFonts w:ascii="Garamond" w:eastAsia="Times New Roman" w:hAnsi="Garamond" w:cs="Arial"/>
          <w:color w:val="1F1E1E"/>
          <w:sz w:val="21"/>
          <w:szCs w:val="21"/>
          <w:shd w:val="clear" w:color="auto" w:fill="FFFFFF"/>
        </w:rPr>
        <w:t>The Florida Standards Alternate Assessment (FSA</w:t>
      </w:r>
      <w:r w:rsidR="003A4463">
        <w:rPr>
          <w:rFonts w:ascii="Garamond" w:eastAsia="Times New Roman" w:hAnsi="Garamond" w:cs="Arial"/>
          <w:color w:val="1F1E1E"/>
          <w:sz w:val="21"/>
          <w:szCs w:val="21"/>
          <w:shd w:val="clear" w:color="auto" w:fill="FFFFFF"/>
        </w:rPr>
        <w:t>A</w:t>
      </w:r>
      <w:r w:rsidR="00792804" w:rsidRPr="00AA531C">
        <w:rPr>
          <w:rFonts w:ascii="Garamond" w:eastAsia="Times New Roman" w:hAnsi="Garamond" w:cs="Arial"/>
          <w:color w:val="1F1E1E"/>
          <w:sz w:val="21"/>
          <w:szCs w:val="21"/>
          <w:shd w:val="clear" w:color="auto" w:fill="FFFFFF"/>
        </w:rPr>
        <w:t>) is designed for students whose participation in the general statewide assessment program (Florida Standards Assessments, Statewide Science Assessment, Next Generation Sunshine State Standards End-of-Course Assessments) is not appropriate, even with accommodations. The FSAA measures student academic performance on the Access Points (FS–AP) in Language Arts, Mathematics, Science, and Social Studies. Access Points are academic expectations written specifically for students with significant cognitive disabilities. </w:t>
      </w:r>
    </w:p>
    <w:p w14:paraId="023896E7" w14:textId="77777777" w:rsidR="000738D4" w:rsidRPr="00AA531C" w:rsidRDefault="000738D4" w:rsidP="00AA531C">
      <w:pPr>
        <w:spacing w:after="0" w:line="240" w:lineRule="auto"/>
        <w:rPr>
          <w:rFonts w:ascii="Garamond" w:eastAsia="Times New Roman" w:hAnsi="Garamond"/>
          <w:sz w:val="21"/>
          <w:szCs w:val="21"/>
        </w:rPr>
      </w:pPr>
    </w:p>
    <w:p w14:paraId="06B91713" w14:textId="34A8F2EE" w:rsidR="00746D04" w:rsidRPr="00AA531C" w:rsidRDefault="00EB5353" w:rsidP="00F3725C">
      <w:pPr>
        <w:spacing w:after="0" w:line="240" w:lineRule="auto"/>
        <w:ind w:left="360"/>
        <w:rPr>
          <w:rFonts w:ascii="Garamond" w:eastAsia="Times New Roman" w:hAnsi="Garamond"/>
          <w:sz w:val="21"/>
          <w:szCs w:val="21"/>
        </w:rPr>
      </w:pPr>
      <w:r w:rsidRPr="00AA531C">
        <w:rPr>
          <w:rFonts w:ascii="Garamond" w:eastAsia="Times New Roman" w:hAnsi="Garamond"/>
          <w:b/>
          <w:bCs/>
          <w:sz w:val="21"/>
          <w:szCs w:val="21"/>
        </w:rPr>
        <w:t xml:space="preserve">District Assessments </w:t>
      </w:r>
      <w:r w:rsidR="000F3D68">
        <w:rPr>
          <w:rFonts w:ascii="Garamond" w:eastAsia="Times New Roman" w:hAnsi="Garamond"/>
          <w:b/>
          <w:bCs/>
          <w:sz w:val="21"/>
          <w:szCs w:val="21"/>
        </w:rPr>
        <w:t>(K-5</w:t>
      </w:r>
      <w:r w:rsidR="000F3D68" w:rsidRPr="000F3D68">
        <w:rPr>
          <w:rFonts w:ascii="Garamond" w:eastAsia="Times New Roman" w:hAnsi="Garamond"/>
          <w:b/>
          <w:bCs/>
          <w:sz w:val="21"/>
          <w:szCs w:val="21"/>
          <w:vertAlign w:val="superscript"/>
        </w:rPr>
        <w:t>th</w:t>
      </w:r>
      <w:r w:rsidR="000F3D68">
        <w:rPr>
          <w:rFonts w:ascii="Garamond" w:eastAsia="Times New Roman" w:hAnsi="Garamond"/>
          <w:b/>
          <w:bCs/>
          <w:sz w:val="21"/>
          <w:szCs w:val="21"/>
        </w:rPr>
        <w:t xml:space="preserve"> Basic Education)</w:t>
      </w:r>
    </w:p>
    <w:p w14:paraId="529C181D" w14:textId="5A6F01A7" w:rsidR="001775BF" w:rsidRDefault="001775BF" w:rsidP="00F3725C">
      <w:pPr>
        <w:pStyle w:val="ListParagraph"/>
        <w:numPr>
          <w:ilvl w:val="0"/>
          <w:numId w:val="12"/>
        </w:numPr>
        <w:spacing w:after="0" w:line="240" w:lineRule="auto"/>
        <w:rPr>
          <w:rFonts w:ascii="Garamond" w:eastAsia="Times New Roman" w:hAnsi="Garamond"/>
          <w:sz w:val="21"/>
          <w:szCs w:val="21"/>
        </w:rPr>
      </w:pPr>
      <w:proofErr w:type="spellStart"/>
      <w:r>
        <w:rPr>
          <w:rFonts w:ascii="Garamond" w:eastAsia="Times New Roman" w:hAnsi="Garamond"/>
          <w:sz w:val="21"/>
          <w:szCs w:val="21"/>
        </w:rPr>
        <w:t>Cogat</w:t>
      </w:r>
      <w:proofErr w:type="spellEnd"/>
      <w:r>
        <w:rPr>
          <w:rFonts w:ascii="Garamond" w:eastAsia="Times New Roman" w:hAnsi="Garamond"/>
          <w:sz w:val="21"/>
          <w:szCs w:val="21"/>
        </w:rPr>
        <w:t>-</w:t>
      </w:r>
      <w:r w:rsidR="00665F00">
        <w:rPr>
          <w:rFonts w:ascii="Garamond" w:eastAsia="Times New Roman" w:hAnsi="Garamond"/>
          <w:sz w:val="21"/>
          <w:szCs w:val="21"/>
        </w:rPr>
        <w:t>A cognitive abilities test that is used a</w:t>
      </w:r>
      <w:r w:rsidR="002E4C73">
        <w:rPr>
          <w:rFonts w:ascii="Garamond" w:eastAsia="Times New Roman" w:hAnsi="Garamond"/>
          <w:sz w:val="21"/>
          <w:szCs w:val="21"/>
        </w:rPr>
        <w:t>s</w:t>
      </w:r>
      <w:r w:rsidR="00665F00">
        <w:rPr>
          <w:rFonts w:ascii="Garamond" w:eastAsia="Times New Roman" w:hAnsi="Garamond"/>
          <w:sz w:val="21"/>
          <w:szCs w:val="21"/>
        </w:rPr>
        <w:t xml:space="preserve"> screener for all </w:t>
      </w:r>
      <w:proofErr w:type="gramStart"/>
      <w:r w:rsidR="00665F00">
        <w:rPr>
          <w:rFonts w:ascii="Garamond" w:eastAsia="Times New Roman" w:hAnsi="Garamond"/>
          <w:sz w:val="21"/>
          <w:szCs w:val="21"/>
        </w:rPr>
        <w:t>second grade</w:t>
      </w:r>
      <w:proofErr w:type="gramEnd"/>
      <w:r w:rsidR="00665F00">
        <w:rPr>
          <w:rFonts w:ascii="Garamond" w:eastAsia="Times New Roman" w:hAnsi="Garamond"/>
          <w:sz w:val="21"/>
          <w:szCs w:val="21"/>
        </w:rPr>
        <w:t xml:space="preserve"> students</w:t>
      </w:r>
      <w:r w:rsidR="002E4C73">
        <w:rPr>
          <w:rFonts w:ascii="Garamond" w:eastAsia="Times New Roman" w:hAnsi="Garamond"/>
          <w:sz w:val="21"/>
          <w:szCs w:val="21"/>
        </w:rPr>
        <w:t xml:space="preserve">. The purpose of the assessment is to screen second grade students to determine if any students meet the initial qualifications for gifted eligibility. The results of the screener are then used by the school-based intervention team, the classroom teacher, and additional data to determine if students </w:t>
      </w:r>
      <w:r w:rsidR="008C62D3">
        <w:rPr>
          <w:rFonts w:ascii="Garamond" w:eastAsia="Times New Roman" w:hAnsi="Garamond"/>
          <w:sz w:val="21"/>
          <w:szCs w:val="21"/>
        </w:rPr>
        <w:t>should move forward</w:t>
      </w:r>
      <w:r w:rsidR="000F0D66">
        <w:rPr>
          <w:rFonts w:ascii="Garamond" w:eastAsia="Times New Roman" w:hAnsi="Garamond"/>
          <w:sz w:val="21"/>
          <w:szCs w:val="21"/>
        </w:rPr>
        <w:t xml:space="preserve"> with gifted determination.</w:t>
      </w:r>
    </w:p>
    <w:p w14:paraId="1219E6EE" w14:textId="6DF106BB" w:rsidR="00746D04" w:rsidRPr="00AA531C" w:rsidRDefault="00EF6D9A" w:rsidP="00F3725C">
      <w:pPr>
        <w:pStyle w:val="ListParagraph"/>
        <w:numPr>
          <w:ilvl w:val="0"/>
          <w:numId w:val="12"/>
        </w:numPr>
        <w:spacing w:after="0" w:line="240" w:lineRule="auto"/>
        <w:rPr>
          <w:rFonts w:ascii="Garamond" w:eastAsia="Times New Roman" w:hAnsi="Garamond"/>
          <w:sz w:val="21"/>
          <w:szCs w:val="21"/>
        </w:rPr>
      </w:pPr>
      <w:r>
        <w:rPr>
          <w:rFonts w:ascii="Garamond" w:eastAsia="Times New Roman" w:hAnsi="Garamond"/>
          <w:sz w:val="21"/>
          <w:szCs w:val="21"/>
        </w:rPr>
        <w:t>NWEA MAP testing</w:t>
      </w:r>
      <w:r w:rsidR="00C47B5E">
        <w:rPr>
          <w:rFonts w:ascii="Garamond" w:eastAsia="Times New Roman" w:hAnsi="Garamond"/>
          <w:sz w:val="21"/>
          <w:szCs w:val="21"/>
        </w:rPr>
        <w:t xml:space="preserve"> (science 3</w:t>
      </w:r>
      <w:r w:rsidR="00C47B5E" w:rsidRPr="00C47B5E">
        <w:rPr>
          <w:rFonts w:ascii="Garamond" w:eastAsia="Times New Roman" w:hAnsi="Garamond"/>
          <w:sz w:val="21"/>
          <w:szCs w:val="21"/>
          <w:vertAlign w:val="superscript"/>
        </w:rPr>
        <w:t>rd</w:t>
      </w:r>
      <w:r w:rsidR="00C47B5E">
        <w:rPr>
          <w:rFonts w:ascii="Garamond" w:eastAsia="Times New Roman" w:hAnsi="Garamond"/>
          <w:sz w:val="21"/>
          <w:szCs w:val="21"/>
        </w:rPr>
        <w:t>-5</w:t>
      </w:r>
      <w:r w:rsidR="00C47B5E" w:rsidRPr="00C47B5E">
        <w:rPr>
          <w:rFonts w:ascii="Garamond" w:eastAsia="Times New Roman" w:hAnsi="Garamond"/>
          <w:sz w:val="21"/>
          <w:szCs w:val="21"/>
          <w:vertAlign w:val="superscript"/>
        </w:rPr>
        <w:t>th</w:t>
      </w:r>
      <w:r>
        <w:rPr>
          <w:rFonts w:ascii="Garamond" w:eastAsia="Times New Roman" w:hAnsi="Garamond"/>
          <w:sz w:val="21"/>
          <w:szCs w:val="21"/>
        </w:rPr>
        <w:t>)</w:t>
      </w:r>
    </w:p>
    <w:p w14:paraId="08027D1C" w14:textId="64804870" w:rsidR="001735B8" w:rsidRDefault="001735B8" w:rsidP="00F3725C">
      <w:pPr>
        <w:pStyle w:val="ListParagraph"/>
        <w:numPr>
          <w:ilvl w:val="0"/>
          <w:numId w:val="12"/>
        </w:numPr>
        <w:spacing w:after="0" w:line="240" w:lineRule="auto"/>
        <w:rPr>
          <w:rFonts w:ascii="Garamond" w:eastAsia="Times New Roman" w:hAnsi="Garamond"/>
          <w:sz w:val="21"/>
          <w:szCs w:val="21"/>
        </w:rPr>
      </w:pPr>
      <w:r>
        <w:rPr>
          <w:rFonts w:ascii="Garamond" w:eastAsia="Times New Roman" w:hAnsi="Garamond"/>
          <w:sz w:val="21"/>
          <w:szCs w:val="21"/>
        </w:rPr>
        <w:t xml:space="preserve">Dynamic </w:t>
      </w:r>
      <w:r w:rsidR="00E370E7">
        <w:rPr>
          <w:rFonts w:ascii="Garamond" w:eastAsia="Times New Roman" w:hAnsi="Garamond"/>
          <w:sz w:val="21"/>
          <w:szCs w:val="21"/>
        </w:rPr>
        <w:t xml:space="preserve">Indicators of Basic Early Literacy Skills (DIBELS)- </w:t>
      </w:r>
      <w:r w:rsidR="006A1927">
        <w:rPr>
          <w:rFonts w:ascii="Garamond" w:eastAsia="Times New Roman" w:hAnsi="Garamond"/>
          <w:sz w:val="21"/>
          <w:szCs w:val="21"/>
        </w:rPr>
        <w:t>Assesses the acquisition of literacy skills K-5</w:t>
      </w:r>
      <w:r w:rsidR="006A1927" w:rsidRPr="006A1927">
        <w:rPr>
          <w:rFonts w:ascii="Garamond" w:eastAsia="Times New Roman" w:hAnsi="Garamond"/>
          <w:sz w:val="21"/>
          <w:szCs w:val="21"/>
          <w:vertAlign w:val="superscript"/>
        </w:rPr>
        <w:t>th</w:t>
      </w:r>
      <w:r w:rsidR="006A1927">
        <w:rPr>
          <w:rFonts w:ascii="Garamond" w:eastAsia="Times New Roman" w:hAnsi="Garamond"/>
          <w:sz w:val="21"/>
          <w:szCs w:val="21"/>
        </w:rPr>
        <w:t>. Students are assessed in areas such as letter naming fluency, nonsense work fluency, sight word fluency, oral reading fluency</w:t>
      </w:r>
      <w:r w:rsidR="00CC41EB">
        <w:rPr>
          <w:rFonts w:ascii="Garamond" w:eastAsia="Times New Roman" w:hAnsi="Garamond"/>
          <w:sz w:val="21"/>
          <w:szCs w:val="21"/>
        </w:rPr>
        <w:t>, and MAZE</w:t>
      </w:r>
      <w:r w:rsidR="00423C0E">
        <w:rPr>
          <w:rFonts w:ascii="Garamond" w:eastAsia="Times New Roman" w:hAnsi="Garamond"/>
          <w:sz w:val="21"/>
          <w:szCs w:val="21"/>
        </w:rPr>
        <w:t>. This assessment is used to monitor progress throughout the school year. The assessments are given three times per year.</w:t>
      </w:r>
    </w:p>
    <w:p w14:paraId="0CF28E78" w14:textId="1AE96CE0" w:rsidR="00EB5353" w:rsidRPr="00AA531C" w:rsidRDefault="00746D04" w:rsidP="00F3725C">
      <w:pPr>
        <w:pStyle w:val="ListParagraph"/>
        <w:numPr>
          <w:ilvl w:val="0"/>
          <w:numId w:val="12"/>
        </w:numPr>
        <w:spacing w:after="0" w:line="240" w:lineRule="auto"/>
        <w:rPr>
          <w:rFonts w:ascii="Garamond" w:eastAsia="Times New Roman" w:hAnsi="Garamond"/>
          <w:sz w:val="21"/>
          <w:szCs w:val="21"/>
        </w:rPr>
      </w:pPr>
      <w:r w:rsidRPr="00AA531C">
        <w:rPr>
          <w:rFonts w:ascii="Garamond" w:eastAsia="Times New Roman" w:hAnsi="Garamond"/>
          <w:sz w:val="21"/>
          <w:szCs w:val="21"/>
        </w:rPr>
        <w:t xml:space="preserve">District Finals </w:t>
      </w:r>
    </w:p>
    <w:p w14:paraId="0A0CD280" w14:textId="4BFF1C01" w:rsidR="00746D04" w:rsidRDefault="00A31985" w:rsidP="00F3725C">
      <w:pPr>
        <w:pStyle w:val="ListParagraph"/>
        <w:numPr>
          <w:ilvl w:val="1"/>
          <w:numId w:val="12"/>
        </w:numPr>
        <w:spacing w:after="0" w:line="240" w:lineRule="auto"/>
        <w:rPr>
          <w:rFonts w:ascii="Garamond" w:eastAsia="Times New Roman" w:hAnsi="Garamond"/>
          <w:sz w:val="21"/>
          <w:szCs w:val="21"/>
        </w:rPr>
      </w:pPr>
      <w:r>
        <w:rPr>
          <w:rFonts w:ascii="Garamond" w:eastAsia="Times New Roman" w:hAnsi="Garamond"/>
          <w:sz w:val="21"/>
          <w:szCs w:val="21"/>
        </w:rPr>
        <w:t>3</w:t>
      </w:r>
      <w:r w:rsidRPr="00A31985">
        <w:rPr>
          <w:rFonts w:ascii="Garamond" w:eastAsia="Times New Roman" w:hAnsi="Garamond"/>
          <w:sz w:val="21"/>
          <w:szCs w:val="21"/>
          <w:vertAlign w:val="superscript"/>
        </w:rPr>
        <w:t>rd</w:t>
      </w:r>
      <w:r>
        <w:rPr>
          <w:rFonts w:ascii="Garamond" w:eastAsia="Times New Roman" w:hAnsi="Garamond"/>
          <w:sz w:val="21"/>
          <w:szCs w:val="21"/>
        </w:rPr>
        <w:t>-</w:t>
      </w:r>
      <w:r w:rsidR="001F69E1">
        <w:rPr>
          <w:rFonts w:ascii="Garamond" w:eastAsia="Times New Roman" w:hAnsi="Garamond"/>
          <w:sz w:val="21"/>
          <w:szCs w:val="21"/>
        </w:rPr>
        <w:t>PE</w:t>
      </w:r>
    </w:p>
    <w:p w14:paraId="44A9AE59" w14:textId="14535B29" w:rsidR="001F69E1" w:rsidRDefault="001F69E1" w:rsidP="00F3725C">
      <w:pPr>
        <w:pStyle w:val="ListParagraph"/>
        <w:numPr>
          <w:ilvl w:val="1"/>
          <w:numId w:val="12"/>
        </w:numPr>
        <w:spacing w:after="0" w:line="240" w:lineRule="auto"/>
        <w:rPr>
          <w:rFonts w:ascii="Garamond" w:eastAsia="Times New Roman" w:hAnsi="Garamond"/>
          <w:sz w:val="21"/>
          <w:szCs w:val="21"/>
        </w:rPr>
      </w:pPr>
      <w:r>
        <w:rPr>
          <w:rFonts w:ascii="Garamond" w:eastAsia="Times New Roman" w:hAnsi="Garamond"/>
          <w:sz w:val="21"/>
          <w:szCs w:val="21"/>
        </w:rPr>
        <w:t>4</w:t>
      </w:r>
      <w:r w:rsidRPr="001F69E1">
        <w:rPr>
          <w:rFonts w:ascii="Garamond" w:eastAsia="Times New Roman" w:hAnsi="Garamond"/>
          <w:sz w:val="21"/>
          <w:szCs w:val="21"/>
          <w:vertAlign w:val="superscript"/>
        </w:rPr>
        <w:t>th</w:t>
      </w:r>
      <w:r>
        <w:rPr>
          <w:rFonts w:ascii="Garamond" w:eastAsia="Times New Roman" w:hAnsi="Garamond"/>
          <w:sz w:val="21"/>
          <w:szCs w:val="21"/>
        </w:rPr>
        <w:t>-Art</w:t>
      </w:r>
    </w:p>
    <w:p w14:paraId="211AFF65" w14:textId="12A78D61" w:rsidR="001F69E1" w:rsidRPr="00AA531C" w:rsidRDefault="001F69E1" w:rsidP="00F3725C">
      <w:pPr>
        <w:pStyle w:val="ListParagraph"/>
        <w:numPr>
          <w:ilvl w:val="1"/>
          <w:numId w:val="12"/>
        </w:numPr>
        <w:spacing w:after="0" w:line="240" w:lineRule="auto"/>
        <w:rPr>
          <w:rFonts w:ascii="Garamond" w:eastAsia="Times New Roman" w:hAnsi="Garamond"/>
          <w:sz w:val="21"/>
          <w:szCs w:val="21"/>
        </w:rPr>
      </w:pPr>
      <w:r>
        <w:rPr>
          <w:rFonts w:ascii="Garamond" w:eastAsia="Times New Roman" w:hAnsi="Garamond"/>
          <w:sz w:val="21"/>
          <w:szCs w:val="21"/>
        </w:rPr>
        <w:t>5</w:t>
      </w:r>
      <w:r w:rsidRPr="001F69E1">
        <w:rPr>
          <w:rFonts w:ascii="Garamond" w:eastAsia="Times New Roman" w:hAnsi="Garamond"/>
          <w:sz w:val="21"/>
          <w:szCs w:val="21"/>
          <w:vertAlign w:val="superscript"/>
        </w:rPr>
        <w:t>th</w:t>
      </w:r>
      <w:r>
        <w:rPr>
          <w:rFonts w:ascii="Garamond" w:eastAsia="Times New Roman" w:hAnsi="Garamond"/>
          <w:sz w:val="21"/>
          <w:szCs w:val="21"/>
        </w:rPr>
        <w:t>-Music</w:t>
      </w:r>
    </w:p>
    <w:p w14:paraId="1510F3DF" w14:textId="6E5A12BD" w:rsidR="000F3D68" w:rsidRPr="000F3D68" w:rsidRDefault="000F3D68" w:rsidP="000F3D68">
      <w:pPr>
        <w:spacing w:after="0" w:line="240" w:lineRule="auto"/>
        <w:rPr>
          <w:rFonts w:ascii="Garamond" w:eastAsia="Times New Roman" w:hAnsi="Garamond"/>
          <w:sz w:val="21"/>
          <w:szCs w:val="21"/>
        </w:rPr>
      </w:pPr>
      <w:r w:rsidRPr="00C427D2">
        <w:rPr>
          <w:rFonts w:ascii="Garamond" w:eastAsia="Times New Roman" w:hAnsi="Garamond"/>
          <w:b/>
          <w:bCs/>
          <w:sz w:val="21"/>
          <w:szCs w:val="21"/>
        </w:rPr>
        <w:t>District Assessments (Pre-K-5</w:t>
      </w:r>
      <w:r w:rsidRPr="00C427D2">
        <w:rPr>
          <w:rFonts w:ascii="Garamond" w:eastAsia="Times New Roman" w:hAnsi="Garamond"/>
          <w:b/>
          <w:bCs/>
          <w:sz w:val="21"/>
          <w:szCs w:val="21"/>
          <w:vertAlign w:val="superscript"/>
        </w:rPr>
        <w:t>th</w:t>
      </w:r>
      <w:r w:rsidRPr="00C427D2">
        <w:rPr>
          <w:rFonts w:ascii="Garamond" w:eastAsia="Times New Roman" w:hAnsi="Garamond"/>
          <w:b/>
          <w:bCs/>
          <w:sz w:val="21"/>
          <w:szCs w:val="21"/>
        </w:rPr>
        <w:t xml:space="preserve"> Students with disabilities)</w:t>
      </w:r>
    </w:p>
    <w:p w14:paraId="155AC413" w14:textId="77777777" w:rsidR="000F3D68" w:rsidRPr="000F3D68" w:rsidRDefault="000F3D68" w:rsidP="000F3D68">
      <w:pPr>
        <w:pStyle w:val="ListParagraph"/>
        <w:numPr>
          <w:ilvl w:val="0"/>
          <w:numId w:val="15"/>
        </w:numPr>
        <w:spacing w:after="0" w:line="240" w:lineRule="auto"/>
        <w:rPr>
          <w:rFonts w:ascii="Garamond" w:eastAsia="Times New Roman" w:hAnsi="Garamond"/>
          <w:sz w:val="21"/>
          <w:szCs w:val="21"/>
        </w:rPr>
      </w:pPr>
      <w:r w:rsidRPr="000F3D68">
        <w:rPr>
          <w:rFonts w:ascii="Garamond" w:eastAsia="Times New Roman" w:hAnsi="Garamond"/>
          <w:sz w:val="21"/>
          <w:szCs w:val="21"/>
        </w:rPr>
        <w:t xml:space="preserve">Battelle Developmental Inventory (BDI) Pre-K: </w:t>
      </w:r>
      <w:r w:rsidRPr="000F3D68">
        <w:rPr>
          <w:rFonts w:ascii="Garamond" w:hAnsi="Garamond"/>
          <w:color w:val="222222"/>
          <w:sz w:val="21"/>
          <w:szCs w:val="21"/>
        </w:rPr>
        <w:t>The Battelle Developmental Inventory is an assessment for infants and children through age seven. It is a flexible, semi-structured assessment that used a combination of sources such as:</w:t>
      </w:r>
    </w:p>
    <w:p w14:paraId="5620D701" w14:textId="77777777" w:rsidR="000F3D68" w:rsidRPr="000F3D68" w:rsidRDefault="000F3D68" w:rsidP="000F3D68">
      <w:pPr>
        <w:pStyle w:val="ListParagraph"/>
        <w:numPr>
          <w:ilvl w:val="1"/>
          <w:numId w:val="15"/>
        </w:numPr>
        <w:spacing w:after="0" w:line="240" w:lineRule="auto"/>
        <w:rPr>
          <w:rFonts w:ascii="Garamond" w:eastAsia="Times New Roman" w:hAnsi="Garamond"/>
          <w:sz w:val="21"/>
          <w:szCs w:val="21"/>
        </w:rPr>
      </w:pPr>
      <w:r w:rsidRPr="000F3D68">
        <w:rPr>
          <w:rFonts w:ascii="Garamond" w:eastAsia="Times New Roman" w:hAnsi="Garamond"/>
          <w:color w:val="222222"/>
          <w:sz w:val="21"/>
          <w:szCs w:val="21"/>
        </w:rPr>
        <w:t>Observation of the child</w:t>
      </w:r>
    </w:p>
    <w:p w14:paraId="44E533DB" w14:textId="77777777" w:rsidR="000F3D68" w:rsidRPr="000F3D68" w:rsidRDefault="000F3D68" w:rsidP="000F3D68">
      <w:pPr>
        <w:pStyle w:val="ListParagraph"/>
        <w:numPr>
          <w:ilvl w:val="1"/>
          <w:numId w:val="15"/>
        </w:numPr>
        <w:spacing w:after="0" w:line="240" w:lineRule="auto"/>
        <w:rPr>
          <w:rFonts w:ascii="Garamond" w:eastAsia="Times New Roman" w:hAnsi="Garamond"/>
          <w:sz w:val="21"/>
          <w:szCs w:val="21"/>
        </w:rPr>
      </w:pPr>
      <w:r w:rsidRPr="000F3D68">
        <w:rPr>
          <w:rFonts w:ascii="Garamond" w:eastAsia="Times New Roman" w:hAnsi="Garamond"/>
          <w:color w:val="222222"/>
          <w:sz w:val="21"/>
          <w:szCs w:val="21"/>
        </w:rPr>
        <w:t>Interviews with parents and caregivers</w:t>
      </w:r>
    </w:p>
    <w:p w14:paraId="28032104" w14:textId="77777777" w:rsidR="000F3D68" w:rsidRPr="000F3D68" w:rsidRDefault="000F3D68" w:rsidP="000F3D68">
      <w:pPr>
        <w:pStyle w:val="ListParagraph"/>
        <w:numPr>
          <w:ilvl w:val="1"/>
          <w:numId w:val="15"/>
        </w:numPr>
        <w:spacing w:after="0" w:line="240" w:lineRule="auto"/>
        <w:rPr>
          <w:rFonts w:ascii="Garamond" w:eastAsia="Times New Roman" w:hAnsi="Garamond"/>
          <w:sz w:val="21"/>
          <w:szCs w:val="21"/>
        </w:rPr>
      </w:pPr>
      <w:r w:rsidRPr="000F3D68">
        <w:rPr>
          <w:rFonts w:ascii="Garamond" w:eastAsia="Times New Roman" w:hAnsi="Garamond"/>
          <w:color w:val="222222"/>
          <w:sz w:val="21"/>
          <w:szCs w:val="21"/>
        </w:rPr>
        <w:t>A thorough </w:t>
      </w:r>
      <w:hyperlink r:id="rId6" w:history="1">
        <w:r w:rsidRPr="000F3D68">
          <w:rPr>
            <w:rFonts w:ascii="Garamond" w:eastAsia="Times New Roman" w:hAnsi="Garamond"/>
            <w:color w:val="000000" w:themeColor="text1"/>
            <w:sz w:val="21"/>
            <w:szCs w:val="21"/>
          </w:rPr>
          <w:t>developmental history</w:t>
        </w:r>
      </w:hyperlink>
      <w:r w:rsidRPr="000F3D68">
        <w:rPr>
          <w:rFonts w:ascii="Garamond" w:eastAsia="Times New Roman" w:hAnsi="Garamond"/>
          <w:color w:val="000000" w:themeColor="text1"/>
          <w:sz w:val="21"/>
          <w:szCs w:val="21"/>
        </w:rPr>
        <w:t> </w:t>
      </w:r>
      <w:r w:rsidRPr="000F3D68">
        <w:rPr>
          <w:rFonts w:ascii="Garamond" w:eastAsia="Times New Roman" w:hAnsi="Garamond"/>
          <w:color w:val="222222"/>
          <w:sz w:val="21"/>
          <w:szCs w:val="21"/>
        </w:rPr>
        <w:t>(review of milestones reached each age and more)</w:t>
      </w:r>
    </w:p>
    <w:p w14:paraId="1BC999E5" w14:textId="77777777" w:rsidR="000F3D68" w:rsidRPr="000F3D68" w:rsidRDefault="000F3D68" w:rsidP="000F3D68">
      <w:pPr>
        <w:pStyle w:val="ListParagraph"/>
        <w:numPr>
          <w:ilvl w:val="1"/>
          <w:numId w:val="15"/>
        </w:numPr>
        <w:spacing w:after="0" w:line="240" w:lineRule="auto"/>
        <w:rPr>
          <w:rFonts w:ascii="Garamond" w:eastAsia="Times New Roman" w:hAnsi="Garamond"/>
          <w:sz w:val="21"/>
          <w:szCs w:val="21"/>
        </w:rPr>
      </w:pPr>
      <w:r w:rsidRPr="000F3D68">
        <w:rPr>
          <w:rFonts w:ascii="Garamond" w:eastAsia="Times New Roman" w:hAnsi="Garamond"/>
          <w:color w:val="222222"/>
          <w:sz w:val="21"/>
          <w:szCs w:val="21"/>
        </w:rPr>
        <w:t>Social history</w:t>
      </w:r>
    </w:p>
    <w:p w14:paraId="1683E74E" w14:textId="54F71FDE" w:rsidR="000F3D68" w:rsidRPr="000F3D68" w:rsidRDefault="000F3D68" w:rsidP="000F3D68">
      <w:pPr>
        <w:pStyle w:val="ListParagraph"/>
        <w:numPr>
          <w:ilvl w:val="1"/>
          <w:numId w:val="15"/>
        </w:numPr>
        <w:spacing w:after="0" w:line="240" w:lineRule="auto"/>
        <w:rPr>
          <w:rFonts w:ascii="Garamond" w:eastAsia="Times New Roman" w:hAnsi="Garamond"/>
          <w:sz w:val="21"/>
          <w:szCs w:val="21"/>
        </w:rPr>
      </w:pPr>
      <w:r w:rsidRPr="000F3D68">
        <w:rPr>
          <w:rFonts w:ascii="Garamond" w:eastAsia="Times New Roman" w:hAnsi="Garamond"/>
          <w:color w:val="222222"/>
          <w:sz w:val="21"/>
          <w:szCs w:val="21"/>
        </w:rPr>
        <w:t>Interaction with the child using game-like materials, toys, questionnaires, and tasks</w:t>
      </w:r>
    </w:p>
    <w:p w14:paraId="2AD77D04" w14:textId="0B41C699" w:rsidR="000F3D68" w:rsidRPr="000F3D68" w:rsidRDefault="000F3D68" w:rsidP="000F3D68">
      <w:pPr>
        <w:pStyle w:val="ListParagraph"/>
        <w:numPr>
          <w:ilvl w:val="0"/>
          <w:numId w:val="15"/>
        </w:numPr>
        <w:spacing w:after="0" w:line="240" w:lineRule="auto"/>
        <w:rPr>
          <w:rFonts w:ascii="Times New Roman" w:eastAsia="Times New Roman" w:hAnsi="Times New Roman"/>
          <w:sz w:val="24"/>
          <w:szCs w:val="24"/>
        </w:rPr>
      </w:pPr>
      <w:r w:rsidRPr="000F3D68">
        <w:rPr>
          <w:rFonts w:ascii="Garamond" w:eastAsia="Times New Roman" w:hAnsi="Garamond"/>
          <w:sz w:val="21"/>
          <w:szCs w:val="21"/>
        </w:rPr>
        <w:t>Brigance (PreK-2</w:t>
      </w:r>
      <w:r w:rsidRPr="000F3D68">
        <w:rPr>
          <w:rFonts w:ascii="Garamond" w:eastAsia="Times New Roman" w:hAnsi="Garamond"/>
          <w:sz w:val="21"/>
          <w:szCs w:val="21"/>
          <w:vertAlign w:val="superscript"/>
        </w:rPr>
        <w:t>nd</w:t>
      </w:r>
      <w:r w:rsidRPr="000F3D68">
        <w:rPr>
          <w:rFonts w:ascii="Garamond" w:eastAsia="Times New Roman" w:hAnsi="Garamond"/>
          <w:sz w:val="21"/>
          <w:szCs w:val="21"/>
        </w:rPr>
        <w:t xml:space="preserve">): </w:t>
      </w:r>
      <w:r w:rsidRPr="000F3D68">
        <w:rPr>
          <w:rFonts w:ascii="Garamond" w:eastAsia="Times New Roman" w:hAnsi="Garamond" w:cs="Arial"/>
          <w:color w:val="090909"/>
          <w:sz w:val="21"/>
          <w:szCs w:val="21"/>
          <w:shd w:val="clear" w:color="auto" w:fill="FFFFFF"/>
        </w:rPr>
        <w:t xml:space="preserve">Brigance is a </w:t>
      </w:r>
      <w:r>
        <w:rPr>
          <w:rFonts w:ascii="Garamond" w:eastAsia="Times New Roman" w:hAnsi="Garamond" w:cs="Arial"/>
          <w:color w:val="090909"/>
          <w:sz w:val="21"/>
          <w:szCs w:val="21"/>
          <w:shd w:val="clear" w:color="auto" w:fill="FFFFFF"/>
        </w:rPr>
        <w:t>norm-referenced screening</w:t>
      </w:r>
      <w:r w:rsidRPr="000F3D68">
        <w:rPr>
          <w:rFonts w:ascii="Garamond" w:eastAsia="Times New Roman" w:hAnsi="Garamond" w:cs="Arial"/>
          <w:color w:val="090909"/>
          <w:sz w:val="21"/>
          <w:szCs w:val="21"/>
          <w:shd w:val="clear" w:color="auto" w:fill="FFFFFF"/>
        </w:rPr>
        <w:t> </w:t>
      </w:r>
      <w:r>
        <w:rPr>
          <w:rFonts w:ascii="Garamond" w:eastAsia="Times New Roman" w:hAnsi="Garamond" w:cs="Arial"/>
          <w:color w:val="090909"/>
          <w:sz w:val="21"/>
          <w:szCs w:val="21"/>
          <w:shd w:val="clear" w:color="auto" w:fill="FFFFFF"/>
        </w:rPr>
        <w:t>tool</w:t>
      </w:r>
      <w:r w:rsidRPr="000F3D68">
        <w:rPr>
          <w:rFonts w:ascii="Garamond" w:eastAsia="Times New Roman" w:hAnsi="Garamond" w:cs="Arial"/>
          <w:color w:val="090909"/>
          <w:sz w:val="21"/>
          <w:szCs w:val="21"/>
          <w:shd w:val="clear" w:color="auto" w:fill="FFFFFF"/>
        </w:rPr>
        <w:t xml:space="preserve"> that compares each child’s results with the performance of other examinees. Brigance Testing covers a variety of </w:t>
      </w:r>
      <w:proofErr w:type="gramStart"/>
      <w:r w:rsidRPr="000F3D68">
        <w:rPr>
          <w:rFonts w:ascii="Garamond" w:eastAsia="Times New Roman" w:hAnsi="Garamond" w:cs="Arial"/>
          <w:color w:val="090909"/>
          <w:sz w:val="21"/>
          <w:szCs w:val="21"/>
          <w:shd w:val="clear" w:color="auto" w:fill="FFFFFF"/>
        </w:rPr>
        <w:t>school based</w:t>
      </w:r>
      <w:proofErr w:type="gramEnd"/>
      <w:r w:rsidRPr="000F3D68">
        <w:rPr>
          <w:rFonts w:ascii="Garamond" w:eastAsia="Times New Roman" w:hAnsi="Garamond" w:cs="Arial"/>
          <w:color w:val="090909"/>
          <w:sz w:val="21"/>
          <w:szCs w:val="21"/>
          <w:shd w:val="clear" w:color="auto" w:fill="FFFFFF"/>
        </w:rPr>
        <w:t xml:space="preserve"> curriculum topics through a series of 12 assessments, including language development, science and math proficiencies</w:t>
      </w:r>
    </w:p>
    <w:p w14:paraId="4DA56712" w14:textId="0FCA6EEF" w:rsidR="000F3D68" w:rsidRPr="000F3D68" w:rsidRDefault="000F3D68" w:rsidP="000F3D68">
      <w:pPr>
        <w:pStyle w:val="ListParagraph"/>
        <w:numPr>
          <w:ilvl w:val="0"/>
          <w:numId w:val="15"/>
        </w:numPr>
        <w:spacing w:after="0" w:line="240" w:lineRule="auto"/>
        <w:rPr>
          <w:rFonts w:ascii="Garamond" w:eastAsia="Times New Roman" w:hAnsi="Garamond"/>
          <w:sz w:val="21"/>
          <w:szCs w:val="21"/>
        </w:rPr>
      </w:pPr>
      <w:r w:rsidRPr="000F3D68">
        <w:rPr>
          <w:rFonts w:ascii="Garamond" w:eastAsia="Times New Roman" w:hAnsi="Garamond" w:cs="Calibri"/>
          <w:color w:val="000000"/>
          <w:sz w:val="21"/>
          <w:szCs w:val="21"/>
          <w:shd w:val="clear" w:color="auto" w:fill="FFFFFF"/>
        </w:rPr>
        <w:t>The Assessment of Basic Language and Learning Skills</w:t>
      </w:r>
      <w:proofErr w:type="gramStart"/>
      <w:r w:rsidRPr="000F3D68">
        <w:rPr>
          <w:rFonts w:ascii="Garamond" w:eastAsia="Times New Roman" w:hAnsi="Garamond" w:cs="Calibri"/>
          <w:color w:val="000000"/>
          <w:sz w:val="21"/>
          <w:szCs w:val="21"/>
          <w:shd w:val="clear" w:color="auto" w:fill="FFFFFF"/>
        </w:rPr>
        <w:t>-(</w:t>
      </w:r>
      <w:proofErr w:type="gramEnd"/>
      <w:r w:rsidRPr="000F3D68">
        <w:rPr>
          <w:rFonts w:ascii="Garamond" w:eastAsia="Times New Roman" w:hAnsi="Garamond" w:cs="Calibri"/>
          <w:color w:val="000000"/>
          <w:sz w:val="21"/>
          <w:szCs w:val="21"/>
          <w:shd w:val="clear" w:color="auto" w:fill="FFFFFF"/>
        </w:rPr>
        <w:t>The ABLLS) is a skills-based system of assessment, curriculum, and tracking system that addresses the basic language and functional skills of an individual with autism and other developmental delays. It is used as a tool to help develop customized curriculums to teach language and other critical skills to children with autism or other developmental disabilities.</w:t>
      </w:r>
    </w:p>
    <w:p w14:paraId="0F7181F0" w14:textId="77777777" w:rsidR="000F3D68" w:rsidRPr="000F3D68" w:rsidRDefault="000F3D68" w:rsidP="000F3D68">
      <w:pPr>
        <w:pStyle w:val="ListParagraph"/>
        <w:numPr>
          <w:ilvl w:val="0"/>
          <w:numId w:val="15"/>
        </w:numPr>
        <w:spacing w:after="0" w:line="240" w:lineRule="auto"/>
        <w:rPr>
          <w:rFonts w:ascii="Garamond" w:eastAsia="Times New Roman" w:hAnsi="Garamond"/>
          <w:sz w:val="21"/>
          <w:szCs w:val="21"/>
        </w:rPr>
      </w:pPr>
      <w:r w:rsidRPr="000F3D68">
        <w:rPr>
          <w:rFonts w:ascii="Garamond" w:eastAsia="Times New Roman" w:hAnsi="Garamond"/>
          <w:i/>
          <w:iCs/>
          <w:color w:val="000000"/>
          <w:sz w:val="21"/>
          <w:szCs w:val="21"/>
        </w:rPr>
        <w:t>Teaching Strategies GOLD</w:t>
      </w:r>
      <w:r w:rsidRPr="000F3D68">
        <w:rPr>
          <w:rFonts w:ascii="Garamond" w:eastAsia="Times New Roman" w:hAnsi="Garamond"/>
          <w:color w:val="000000"/>
          <w:sz w:val="21"/>
          <w:szCs w:val="21"/>
        </w:rPr>
        <w:t> is an authentic, observational assessment system for children on a developmental continuum of birth through kindergarten.  GOLD intertwines ongoing, authentic observational assessment experiences for all areas of development and learning with intentional, performance-assessment tasks for selected predictors of school success.</w:t>
      </w:r>
    </w:p>
    <w:p w14:paraId="3A2FAB48" w14:textId="3700F5A3" w:rsidR="000F3D68" w:rsidRPr="000F3D68" w:rsidRDefault="000F3D68" w:rsidP="000F3D68">
      <w:pPr>
        <w:pStyle w:val="ListParagraph"/>
        <w:numPr>
          <w:ilvl w:val="1"/>
          <w:numId w:val="15"/>
        </w:numPr>
        <w:spacing w:after="0" w:line="240" w:lineRule="auto"/>
        <w:rPr>
          <w:rFonts w:ascii="Garamond" w:eastAsia="Times New Roman" w:hAnsi="Garamond"/>
          <w:sz w:val="21"/>
          <w:szCs w:val="21"/>
        </w:rPr>
      </w:pPr>
      <w:r w:rsidRPr="000F3D68">
        <w:rPr>
          <w:rFonts w:ascii="Garamond" w:eastAsia="Times New Roman" w:hAnsi="Garamond"/>
          <w:color w:val="000000"/>
          <w:sz w:val="21"/>
          <w:szCs w:val="21"/>
        </w:rPr>
        <w:t xml:space="preserve">observe and document children’s development over </w:t>
      </w:r>
      <w:proofErr w:type="gramStart"/>
      <w:r w:rsidRPr="000F3D68">
        <w:rPr>
          <w:rFonts w:ascii="Garamond" w:eastAsia="Times New Roman" w:hAnsi="Garamond"/>
          <w:color w:val="000000"/>
          <w:sz w:val="21"/>
          <w:szCs w:val="21"/>
        </w:rPr>
        <w:t>time</w:t>
      </w:r>
      <w:proofErr w:type="gramEnd"/>
    </w:p>
    <w:p w14:paraId="69E6613C" w14:textId="77777777" w:rsidR="000F3D68" w:rsidRPr="000F3D68" w:rsidRDefault="000F3D68" w:rsidP="000F3D68">
      <w:pPr>
        <w:pStyle w:val="ListParagraph"/>
        <w:numPr>
          <w:ilvl w:val="1"/>
          <w:numId w:val="15"/>
        </w:numPr>
        <w:spacing w:after="0" w:line="240" w:lineRule="auto"/>
        <w:rPr>
          <w:rFonts w:ascii="Garamond" w:eastAsia="Times New Roman" w:hAnsi="Garamond"/>
          <w:sz w:val="21"/>
          <w:szCs w:val="21"/>
        </w:rPr>
      </w:pPr>
      <w:r w:rsidRPr="000F3D68">
        <w:rPr>
          <w:rFonts w:ascii="Garamond" w:eastAsia="Times New Roman" w:hAnsi="Garamond"/>
          <w:color w:val="000000"/>
          <w:sz w:val="21"/>
          <w:szCs w:val="21"/>
        </w:rPr>
        <w:t>support, guide and inform planning and instruction</w:t>
      </w:r>
    </w:p>
    <w:p w14:paraId="4E13497D" w14:textId="6A11241E" w:rsidR="000F3D68" w:rsidRPr="000F3D68" w:rsidRDefault="000F3D68" w:rsidP="00F3725C">
      <w:pPr>
        <w:pStyle w:val="ListParagraph"/>
        <w:numPr>
          <w:ilvl w:val="1"/>
          <w:numId w:val="15"/>
        </w:numPr>
        <w:spacing w:after="0" w:line="240" w:lineRule="auto"/>
        <w:rPr>
          <w:rFonts w:ascii="Garamond" w:eastAsia="Times New Roman" w:hAnsi="Garamond"/>
          <w:sz w:val="21"/>
          <w:szCs w:val="21"/>
        </w:rPr>
      </w:pPr>
      <w:r w:rsidRPr="000F3D68">
        <w:rPr>
          <w:rFonts w:ascii="Garamond" w:eastAsia="Times New Roman" w:hAnsi="Garamond"/>
          <w:color w:val="000000"/>
          <w:sz w:val="21"/>
          <w:szCs w:val="21"/>
        </w:rPr>
        <w:t>identify children who might benefit from screening or further evaluation report and communicate with family members or other legal guardians</w:t>
      </w:r>
    </w:p>
    <w:p w14:paraId="2EA3932D" w14:textId="77777777" w:rsidR="000F3D68" w:rsidRPr="000F3D68" w:rsidRDefault="000F3D68" w:rsidP="000F3D68">
      <w:pPr>
        <w:spacing w:after="0" w:line="240" w:lineRule="auto"/>
        <w:rPr>
          <w:rFonts w:ascii="Garamond" w:eastAsia="Times New Roman" w:hAnsi="Garamond"/>
          <w:sz w:val="21"/>
          <w:szCs w:val="21"/>
        </w:rPr>
      </w:pPr>
    </w:p>
    <w:p w14:paraId="492C3D6C" w14:textId="1C9653A3" w:rsidR="00746D04" w:rsidRPr="00AA531C" w:rsidRDefault="00EB5353" w:rsidP="00F3725C">
      <w:pPr>
        <w:spacing w:after="0" w:line="240" w:lineRule="auto"/>
        <w:rPr>
          <w:rFonts w:ascii="Garamond" w:eastAsia="Times New Roman" w:hAnsi="Garamond"/>
          <w:sz w:val="21"/>
          <w:szCs w:val="21"/>
        </w:rPr>
      </w:pPr>
      <w:r w:rsidRPr="00AA531C">
        <w:rPr>
          <w:rFonts w:ascii="Garamond" w:eastAsia="Times New Roman" w:hAnsi="Garamond"/>
          <w:b/>
          <w:bCs/>
          <w:sz w:val="21"/>
          <w:szCs w:val="21"/>
        </w:rPr>
        <w:t xml:space="preserve">School wide Assessments </w:t>
      </w:r>
    </w:p>
    <w:p w14:paraId="34D7F9CB" w14:textId="5492B892" w:rsidR="00EB5353" w:rsidRPr="00AA531C" w:rsidRDefault="00EB5353" w:rsidP="00F3725C">
      <w:pPr>
        <w:spacing w:after="0" w:line="240" w:lineRule="auto"/>
        <w:rPr>
          <w:rFonts w:ascii="Garamond" w:eastAsia="Times New Roman" w:hAnsi="Garamond"/>
          <w:sz w:val="21"/>
          <w:szCs w:val="21"/>
        </w:rPr>
      </w:pPr>
      <w:r w:rsidRPr="00AA531C">
        <w:rPr>
          <w:rFonts w:ascii="Garamond" w:eastAsia="Times New Roman" w:hAnsi="Garamond"/>
          <w:sz w:val="21"/>
          <w:szCs w:val="21"/>
        </w:rPr>
        <w:t xml:space="preserve">At </w:t>
      </w:r>
      <w:r w:rsidR="00746D04" w:rsidRPr="00AA531C">
        <w:rPr>
          <w:rFonts w:ascii="Garamond" w:eastAsia="Times New Roman" w:hAnsi="Garamond"/>
          <w:sz w:val="21"/>
          <w:szCs w:val="21"/>
        </w:rPr>
        <w:t>Pine View</w:t>
      </w:r>
      <w:r w:rsidRPr="00AA531C">
        <w:rPr>
          <w:rFonts w:ascii="Garamond" w:eastAsia="Times New Roman" w:hAnsi="Garamond"/>
          <w:sz w:val="21"/>
          <w:szCs w:val="21"/>
        </w:rPr>
        <w:t xml:space="preserve"> Elementary, we believe that assessments should be given at numerous times during a unit of study in all subject areas. Units of study should have the following: </w:t>
      </w:r>
    </w:p>
    <w:p w14:paraId="2C3CBF40" w14:textId="77777777" w:rsidR="00746D04" w:rsidRPr="00AA531C" w:rsidRDefault="00EB5353" w:rsidP="00F3725C">
      <w:pPr>
        <w:pStyle w:val="ListParagraph"/>
        <w:numPr>
          <w:ilvl w:val="0"/>
          <w:numId w:val="13"/>
        </w:numPr>
        <w:spacing w:after="0" w:line="240" w:lineRule="auto"/>
        <w:rPr>
          <w:rFonts w:ascii="Garamond" w:eastAsia="Times New Roman" w:hAnsi="Garamond"/>
          <w:sz w:val="21"/>
          <w:szCs w:val="21"/>
        </w:rPr>
      </w:pPr>
      <w:r w:rsidRPr="00AA531C">
        <w:rPr>
          <w:rFonts w:ascii="Garamond" w:eastAsia="Times New Roman" w:hAnsi="Garamond"/>
          <w:b/>
          <w:bCs/>
          <w:sz w:val="21"/>
          <w:szCs w:val="21"/>
        </w:rPr>
        <w:t xml:space="preserve">Background Knowledge Assessment: </w:t>
      </w:r>
      <w:r w:rsidRPr="00AA531C">
        <w:rPr>
          <w:rFonts w:ascii="Garamond" w:eastAsia="Times New Roman" w:hAnsi="Garamond"/>
          <w:sz w:val="21"/>
          <w:szCs w:val="21"/>
        </w:rPr>
        <w:t xml:space="preserve">These are assessments given to check the previous knowledge students have regarding the information about to be taught. By pre-assessing, a teacher has information on which students will need modified or accelerated work, what content is already known and therefore does not need to be taught and what content that is not well understood and will need further instruction. </w:t>
      </w:r>
    </w:p>
    <w:p w14:paraId="41D08FC0" w14:textId="77777777" w:rsidR="00746D04" w:rsidRPr="00AA531C" w:rsidRDefault="00EB5353" w:rsidP="00F3725C">
      <w:pPr>
        <w:pStyle w:val="ListParagraph"/>
        <w:numPr>
          <w:ilvl w:val="0"/>
          <w:numId w:val="13"/>
        </w:numPr>
        <w:spacing w:after="0" w:line="240" w:lineRule="auto"/>
        <w:rPr>
          <w:rFonts w:ascii="Garamond" w:eastAsia="Times New Roman" w:hAnsi="Garamond"/>
          <w:sz w:val="21"/>
          <w:szCs w:val="21"/>
        </w:rPr>
      </w:pPr>
      <w:r w:rsidRPr="00AA531C">
        <w:rPr>
          <w:rFonts w:ascii="Garamond" w:eastAsia="Times New Roman" w:hAnsi="Garamond"/>
          <w:b/>
          <w:bCs/>
          <w:sz w:val="21"/>
          <w:szCs w:val="21"/>
        </w:rPr>
        <w:lastRenderedPageBreak/>
        <w:t xml:space="preserve">Formative Assessment: </w:t>
      </w:r>
      <w:r w:rsidRPr="00AA531C">
        <w:rPr>
          <w:rFonts w:ascii="Garamond" w:eastAsia="Times New Roman" w:hAnsi="Garamond"/>
          <w:sz w:val="21"/>
          <w:szCs w:val="21"/>
        </w:rPr>
        <w:t>A formative assessment is any assessment during the instruction of the unit that would provide teachers with knowledge of how students are progressing toward learning objectives in order to plan future lessons and next steps in a unit. Examples of formative assessments include response journals, class discussions and graphic organizers.</w:t>
      </w:r>
    </w:p>
    <w:p w14:paraId="6B5A1AD3" w14:textId="77777777" w:rsidR="00746D04" w:rsidRPr="00AA531C" w:rsidRDefault="00EB5353" w:rsidP="00F3725C">
      <w:pPr>
        <w:pStyle w:val="ListParagraph"/>
        <w:numPr>
          <w:ilvl w:val="0"/>
          <w:numId w:val="13"/>
        </w:numPr>
        <w:spacing w:after="0" w:line="240" w:lineRule="auto"/>
        <w:rPr>
          <w:rFonts w:ascii="Garamond" w:eastAsia="Times New Roman" w:hAnsi="Garamond"/>
          <w:sz w:val="21"/>
          <w:szCs w:val="21"/>
        </w:rPr>
      </w:pPr>
      <w:r w:rsidRPr="00AA531C">
        <w:rPr>
          <w:rFonts w:ascii="Garamond" w:eastAsia="Times New Roman" w:hAnsi="Garamond"/>
          <w:b/>
          <w:bCs/>
          <w:sz w:val="21"/>
          <w:szCs w:val="21"/>
        </w:rPr>
        <w:t xml:space="preserve">Summative Assessment: </w:t>
      </w:r>
      <w:r w:rsidRPr="00AA531C">
        <w:rPr>
          <w:rFonts w:ascii="Garamond" w:eastAsia="Times New Roman" w:hAnsi="Garamond"/>
          <w:sz w:val="21"/>
          <w:szCs w:val="21"/>
        </w:rPr>
        <w:t xml:space="preserve">A summative assessment is given at the end of a unit to allow students to show what they have learned and to provide feedback to the teacher on how well objectives of the unit were reached. The summative assessment expectations should be known by the students before the unit of study begins. Examples of summative assessment include end of unit performances or projects, extended written responses or unit tests. </w:t>
      </w:r>
    </w:p>
    <w:p w14:paraId="67D1343B" w14:textId="42697881" w:rsidR="00EB5353" w:rsidRPr="00AA531C" w:rsidRDefault="00EB5353" w:rsidP="00F3725C">
      <w:pPr>
        <w:pStyle w:val="ListParagraph"/>
        <w:numPr>
          <w:ilvl w:val="0"/>
          <w:numId w:val="13"/>
        </w:numPr>
        <w:spacing w:after="0" w:line="240" w:lineRule="auto"/>
        <w:rPr>
          <w:rFonts w:ascii="Garamond" w:eastAsia="Times New Roman" w:hAnsi="Garamond"/>
          <w:sz w:val="21"/>
          <w:szCs w:val="21"/>
        </w:rPr>
      </w:pPr>
      <w:r w:rsidRPr="00AA531C">
        <w:rPr>
          <w:rFonts w:ascii="Garamond" w:eastAsia="Times New Roman" w:hAnsi="Garamond"/>
          <w:b/>
          <w:bCs/>
          <w:sz w:val="21"/>
          <w:szCs w:val="21"/>
        </w:rPr>
        <w:t xml:space="preserve">Student Self </w:t>
      </w:r>
      <w:r w:rsidR="00746D04" w:rsidRPr="00AA531C">
        <w:rPr>
          <w:rFonts w:ascii="Garamond" w:eastAsia="Times New Roman" w:hAnsi="Garamond"/>
          <w:b/>
          <w:bCs/>
          <w:sz w:val="21"/>
          <w:szCs w:val="21"/>
        </w:rPr>
        <w:t>Reflections</w:t>
      </w:r>
      <w:r w:rsidRPr="00AA531C">
        <w:rPr>
          <w:rFonts w:ascii="Garamond" w:eastAsia="Times New Roman" w:hAnsi="Garamond"/>
          <w:b/>
          <w:bCs/>
          <w:sz w:val="21"/>
          <w:szCs w:val="21"/>
        </w:rPr>
        <w:t xml:space="preserve">: </w:t>
      </w:r>
      <w:r w:rsidRPr="00AA531C">
        <w:rPr>
          <w:rFonts w:ascii="Garamond" w:eastAsia="Times New Roman" w:hAnsi="Garamond"/>
          <w:sz w:val="21"/>
          <w:szCs w:val="21"/>
        </w:rPr>
        <w:t xml:space="preserve">Students will use </w:t>
      </w:r>
      <w:r w:rsidR="004C167E" w:rsidRPr="00AA531C">
        <w:rPr>
          <w:rFonts w:ascii="Garamond" w:eastAsia="Times New Roman" w:hAnsi="Garamond"/>
          <w:sz w:val="21"/>
          <w:szCs w:val="21"/>
        </w:rPr>
        <w:t>self-assessment</w:t>
      </w:r>
      <w:r w:rsidRPr="00AA531C">
        <w:rPr>
          <w:rFonts w:ascii="Garamond" w:eastAsia="Times New Roman" w:hAnsi="Garamond"/>
          <w:sz w:val="21"/>
          <w:szCs w:val="21"/>
        </w:rPr>
        <w:t xml:space="preserve"> throughout their time at </w:t>
      </w:r>
      <w:r w:rsidR="00746D04" w:rsidRPr="00AA531C">
        <w:rPr>
          <w:rFonts w:ascii="Garamond" w:eastAsia="Times New Roman" w:hAnsi="Garamond"/>
          <w:sz w:val="21"/>
          <w:szCs w:val="21"/>
        </w:rPr>
        <w:t>Pine View</w:t>
      </w:r>
      <w:r w:rsidRPr="00AA531C">
        <w:rPr>
          <w:rFonts w:ascii="Garamond" w:eastAsia="Times New Roman" w:hAnsi="Garamond"/>
          <w:sz w:val="21"/>
          <w:szCs w:val="21"/>
        </w:rPr>
        <w:t xml:space="preserve"> Elementary to reflect on their development as international citizens and their understanding of the learner profile and attitudes. Within the context of units of </w:t>
      </w:r>
      <w:r w:rsidR="004C167E" w:rsidRPr="00AA531C">
        <w:rPr>
          <w:rFonts w:ascii="Garamond" w:eastAsia="Times New Roman" w:hAnsi="Garamond"/>
          <w:sz w:val="21"/>
          <w:szCs w:val="21"/>
        </w:rPr>
        <w:t>inquiry,</w:t>
      </w:r>
      <w:r w:rsidRPr="00AA531C">
        <w:rPr>
          <w:rFonts w:ascii="Garamond" w:eastAsia="Times New Roman" w:hAnsi="Garamond"/>
          <w:sz w:val="21"/>
          <w:szCs w:val="21"/>
        </w:rPr>
        <w:t xml:space="preserve"> they will assess their knowledge of central ideas, lines of inquiry, and concepts. Students will reflect on their growth as learners by examining their own skill development and setting goals accordingly. </w:t>
      </w:r>
    </w:p>
    <w:p w14:paraId="3495CA22" w14:textId="77777777" w:rsidR="00F3725C" w:rsidRPr="00AA531C" w:rsidRDefault="00F3725C" w:rsidP="00F3725C">
      <w:pPr>
        <w:spacing w:after="0" w:line="240" w:lineRule="auto"/>
        <w:rPr>
          <w:rFonts w:ascii="Garamond" w:hAnsi="Garamond"/>
          <w:b/>
          <w:sz w:val="21"/>
          <w:szCs w:val="21"/>
          <w:u w:val="single"/>
        </w:rPr>
      </w:pPr>
    </w:p>
    <w:p w14:paraId="6BD55D11" w14:textId="499A03EF" w:rsidR="00D62010" w:rsidRPr="00AA531C" w:rsidRDefault="00D62010" w:rsidP="00F3725C">
      <w:pPr>
        <w:spacing w:after="0" w:line="240" w:lineRule="auto"/>
        <w:rPr>
          <w:rFonts w:ascii="Garamond" w:hAnsi="Garamond"/>
          <w:b/>
          <w:sz w:val="21"/>
          <w:szCs w:val="21"/>
          <w:u w:val="single"/>
        </w:rPr>
      </w:pPr>
      <w:r w:rsidRPr="00AA531C">
        <w:rPr>
          <w:rFonts w:ascii="Garamond" w:hAnsi="Garamond"/>
          <w:b/>
          <w:sz w:val="21"/>
          <w:szCs w:val="21"/>
          <w:u w:val="single"/>
        </w:rPr>
        <w:t>Reporting</w:t>
      </w:r>
    </w:p>
    <w:p w14:paraId="2E9F812C" w14:textId="2E218D77" w:rsidR="00D62010" w:rsidRPr="00AA531C" w:rsidRDefault="00D62010" w:rsidP="00F3725C">
      <w:pPr>
        <w:pStyle w:val="ListParagraph"/>
        <w:numPr>
          <w:ilvl w:val="0"/>
          <w:numId w:val="6"/>
        </w:num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PVES provides/communicates student progress through:</w:t>
      </w:r>
    </w:p>
    <w:p w14:paraId="4A2A12F1" w14:textId="0BEA4151" w:rsidR="00D62010" w:rsidRPr="00AA531C" w:rsidRDefault="00D62010" w:rsidP="00F3725C">
      <w:pPr>
        <w:pStyle w:val="ListParagraph"/>
        <w:numPr>
          <w:ilvl w:val="1"/>
          <w:numId w:val="6"/>
        </w:num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Parent teacher conferences</w:t>
      </w:r>
    </w:p>
    <w:p w14:paraId="11913D53" w14:textId="70F41ECB" w:rsidR="00D62010" w:rsidRPr="00AA531C" w:rsidRDefault="00D62010" w:rsidP="00F3725C">
      <w:pPr>
        <w:pStyle w:val="ListParagraph"/>
        <w:numPr>
          <w:ilvl w:val="1"/>
          <w:numId w:val="6"/>
        </w:num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Progress Reports</w:t>
      </w:r>
    </w:p>
    <w:p w14:paraId="43C6148E" w14:textId="210F608F" w:rsidR="007C31D9" w:rsidRPr="00AA531C" w:rsidRDefault="007C31D9" w:rsidP="00F3725C">
      <w:pPr>
        <w:pStyle w:val="ListParagraph"/>
        <w:numPr>
          <w:ilvl w:val="2"/>
          <w:numId w:val="6"/>
        </w:num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Using Pasco County Reporting System</w:t>
      </w:r>
    </w:p>
    <w:p w14:paraId="34D881B0" w14:textId="33329C7F" w:rsidR="00D62010" w:rsidRPr="00AA531C" w:rsidRDefault="00D62010" w:rsidP="00F3725C">
      <w:pPr>
        <w:pStyle w:val="ListParagraph"/>
        <w:numPr>
          <w:ilvl w:val="1"/>
          <w:numId w:val="6"/>
        </w:num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Report Cards</w:t>
      </w:r>
    </w:p>
    <w:p w14:paraId="03EDD00A" w14:textId="763EC58F" w:rsidR="007C31D9" w:rsidRPr="00AA531C" w:rsidRDefault="007C31D9" w:rsidP="00F3725C">
      <w:pPr>
        <w:pStyle w:val="ListParagraph"/>
        <w:numPr>
          <w:ilvl w:val="2"/>
          <w:numId w:val="6"/>
        </w:num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Using Pasco County Reporting System</w:t>
      </w:r>
    </w:p>
    <w:p w14:paraId="604E3420" w14:textId="26E210A8" w:rsidR="00D62010" w:rsidRPr="00AA531C" w:rsidRDefault="00EC11A6" w:rsidP="00F3725C">
      <w:pPr>
        <w:pStyle w:val="ListParagraph"/>
        <w:numPr>
          <w:ilvl w:val="1"/>
          <w:numId w:val="6"/>
        </w:numPr>
        <w:spacing w:after="0" w:line="240" w:lineRule="auto"/>
        <w:rPr>
          <w:rFonts w:ascii="Garamond" w:hAnsi="Garamond" w:cs="Calibri"/>
          <w:color w:val="000000"/>
          <w:sz w:val="21"/>
          <w:szCs w:val="21"/>
          <w:lang w:eastAsia="zh-CN"/>
        </w:rPr>
      </w:pPr>
      <w:r>
        <w:rPr>
          <w:rFonts w:ascii="Garamond" w:hAnsi="Garamond" w:cs="Calibri"/>
          <w:color w:val="000000"/>
          <w:sz w:val="21"/>
          <w:szCs w:val="21"/>
          <w:lang w:eastAsia="zh-CN"/>
        </w:rPr>
        <w:t>Portfolios</w:t>
      </w:r>
    </w:p>
    <w:p w14:paraId="6A57AF7F" w14:textId="670EDE20" w:rsidR="003A245E" w:rsidRPr="00AA531C" w:rsidRDefault="00EC11A6" w:rsidP="00F3725C">
      <w:pPr>
        <w:pStyle w:val="ListParagraph"/>
        <w:numPr>
          <w:ilvl w:val="1"/>
          <w:numId w:val="6"/>
        </w:numPr>
        <w:spacing w:after="0" w:line="240" w:lineRule="auto"/>
        <w:rPr>
          <w:rFonts w:ascii="Garamond" w:hAnsi="Garamond" w:cs="Calibri"/>
          <w:color w:val="000000"/>
          <w:sz w:val="21"/>
          <w:szCs w:val="21"/>
          <w:lang w:eastAsia="zh-CN"/>
        </w:rPr>
      </w:pPr>
      <w:r>
        <w:rPr>
          <w:rFonts w:ascii="Garamond" w:hAnsi="Garamond" w:cs="Calibri"/>
          <w:color w:val="000000"/>
          <w:sz w:val="21"/>
          <w:szCs w:val="21"/>
          <w:lang w:eastAsia="zh-CN"/>
        </w:rPr>
        <w:t>Student-led conferencing (two times per year)</w:t>
      </w:r>
    </w:p>
    <w:p w14:paraId="36C7A0ED" w14:textId="77777777" w:rsidR="00F3725C" w:rsidRPr="00AA531C" w:rsidRDefault="00F3725C" w:rsidP="00F3725C">
      <w:pPr>
        <w:spacing w:after="0" w:line="240" w:lineRule="auto"/>
        <w:rPr>
          <w:rFonts w:ascii="Garamond" w:hAnsi="Garamond" w:cs="Calibri"/>
          <w:b/>
          <w:color w:val="000000"/>
          <w:sz w:val="21"/>
          <w:szCs w:val="21"/>
          <w:u w:val="single"/>
          <w:lang w:eastAsia="zh-CN"/>
        </w:rPr>
      </w:pPr>
    </w:p>
    <w:p w14:paraId="081C51E4" w14:textId="62D7A389" w:rsidR="003A245E" w:rsidRPr="00AA531C" w:rsidRDefault="003A245E" w:rsidP="00F3725C">
      <w:pPr>
        <w:spacing w:after="0" w:line="240" w:lineRule="auto"/>
        <w:rPr>
          <w:rFonts w:ascii="Garamond" w:hAnsi="Garamond" w:cs="Calibri"/>
          <w:b/>
          <w:color w:val="000000"/>
          <w:sz w:val="21"/>
          <w:szCs w:val="21"/>
          <w:u w:val="single"/>
          <w:lang w:eastAsia="zh-CN"/>
        </w:rPr>
      </w:pPr>
      <w:r w:rsidRPr="00AA531C">
        <w:rPr>
          <w:rFonts w:ascii="Garamond" w:hAnsi="Garamond" w:cs="Calibri"/>
          <w:b/>
          <w:color w:val="000000"/>
          <w:sz w:val="21"/>
          <w:szCs w:val="21"/>
          <w:u w:val="single"/>
          <w:lang w:eastAsia="zh-CN"/>
        </w:rPr>
        <w:t>Portfolios</w:t>
      </w:r>
    </w:p>
    <w:p w14:paraId="785B766D" w14:textId="532C7379" w:rsidR="00D62010" w:rsidRPr="00AA531C" w:rsidRDefault="003A245E" w:rsidP="00F3725C">
      <w:pPr>
        <w:spacing w:after="0" w:line="240" w:lineRule="auto"/>
        <w:rPr>
          <w:rFonts w:ascii="Garamond" w:hAnsi="Garamond" w:cs="Calibri"/>
          <w:color w:val="000000"/>
          <w:sz w:val="21"/>
          <w:szCs w:val="21"/>
          <w:lang w:eastAsia="zh-CN"/>
        </w:rPr>
      </w:pPr>
      <w:r w:rsidRPr="00AA531C">
        <w:rPr>
          <w:rFonts w:ascii="Garamond" w:hAnsi="Garamond" w:cs="Calibri"/>
          <w:color w:val="000000"/>
          <w:sz w:val="21"/>
          <w:szCs w:val="21"/>
          <w:lang w:eastAsia="zh-CN"/>
        </w:rPr>
        <w:t>The PYP Portfolio is a way to show growth in students over the entire PVES experience. Students play a strong role in creating their own portfolios. Work is chosen and reflected upon by students so that they can gain a better understanding of how they are progressing as learners. The portfolio also reflects how students are developing when it comes to the attributes of the Learner Profile.  This is essential because it is the goal of the PYP program to create students who exhibit the attributes of the learner profile.</w:t>
      </w:r>
    </w:p>
    <w:p w14:paraId="7E98E149" w14:textId="77777777" w:rsidR="00746D04" w:rsidRDefault="00746D04" w:rsidP="003A245E">
      <w:pPr>
        <w:spacing w:line="240" w:lineRule="auto"/>
        <w:rPr>
          <w:rFonts w:ascii="Garamond" w:eastAsia="Times New Roman" w:hAnsi="Garamond"/>
          <w:sz w:val="21"/>
          <w:szCs w:val="21"/>
        </w:rPr>
      </w:pPr>
    </w:p>
    <w:p w14:paraId="57EE632F" w14:textId="695C0C3E" w:rsidR="00F80F81" w:rsidRDefault="0097511A" w:rsidP="00F80F81">
      <w:pPr>
        <w:spacing w:after="0" w:line="240" w:lineRule="auto"/>
        <w:rPr>
          <w:rFonts w:ascii="Garamond" w:eastAsia="Times New Roman" w:hAnsi="Garamond"/>
          <w:b/>
          <w:bCs/>
          <w:sz w:val="21"/>
          <w:szCs w:val="21"/>
          <w:u w:val="single"/>
        </w:rPr>
      </w:pPr>
      <w:r w:rsidRPr="00F80F81">
        <w:rPr>
          <w:rFonts w:ascii="Garamond" w:eastAsia="Times New Roman" w:hAnsi="Garamond"/>
          <w:b/>
          <w:bCs/>
          <w:sz w:val="21"/>
          <w:szCs w:val="21"/>
          <w:u w:val="single"/>
        </w:rPr>
        <w:t xml:space="preserve">Student-led </w:t>
      </w:r>
      <w:r w:rsidR="00F80F81" w:rsidRPr="00F80F81">
        <w:rPr>
          <w:rFonts w:ascii="Garamond" w:eastAsia="Times New Roman" w:hAnsi="Garamond"/>
          <w:b/>
          <w:bCs/>
          <w:sz w:val="21"/>
          <w:szCs w:val="21"/>
          <w:u w:val="single"/>
        </w:rPr>
        <w:t>Conferencing</w:t>
      </w:r>
    </w:p>
    <w:p w14:paraId="6331014F" w14:textId="30C6E299" w:rsidR="00753385" w:rsidRPr="00753385" w:rsidRDefault="00753385" w:rsidP="00F80F81">
      <w:pPr>
        <w:spacing w:after="0" w:line="240" w:lineRule="auto"/>
        <w:rPr>
          <w:rFonts w:ascii="Garamond" w:eastAsia="Times New Roman" w:hAnsi="Garamond"/>
          <w:sz w:val="21"/>
          <w:szCs w:val="21"/>
        </w:rPr>
      </w:pPr>
      <w:r w:rsidRPr="00753385">
        <w:rPr>
          <w:rFonts w:ascii="Garamond" w:eastAsia="Times New Roman" w:hAnsi="Garamond"/>
          <w:sz w:val="21"/>
          <w:szCs w:val="21"/>
        </w:rPr>
        <w:t>Students</w:t>
      </w:r>
      <w:r>
        <w:rPr>
          <w:rFonts w:ascii="Garamond" w:eastAsia="Times New Roman" w:hAnsi="Garamond"/>
          <w:sz w:val="21"/>
          <w:szCs w:val="21"/>
        </w:rPr>
        <w:t xml:space="preserve"> lead families through a conference at least two times per year. During this time, </w:t>
      </w:r>
      <w:r w:rsidR="002C7A30">
        <w:rPr>
          <w:rFonts w:ascii="Garamond" w:eastAsia="Times New Roman" w:hAnsi="Garamond"/>
          <w:sz w:val="21"/>
          <w:szCs w:val="21"/>
        </w:rPr>
        <w:t>students share portfolios, student work, reflections, goals, and discuss areas of strength and growth</w:t>
      </w:r>
      <w:r w:rsidR="003936A4">
        <w:rPr>
          <w:rFonts w:ascii="Garamond" w:eastAsia="Times New Roman" w:hAnsi="Garamond"/>
          <w:sz w:val="21"/>
          <w:szCs w:val="21"/>
        </w:rPr>
        <w:t>. Students</w:t>
      </w:r>
      <w:r w:rsidR="00156AB4">
        <w:rPr>
          <w:rFonts w:ascii="Garamond" w:eastAsia="Times New Roman" w:hAnsi="Garamond"/>
          <w:sz w:val="21"/>
          <w:szCs w:val="21"/>
        </w:rPr>
        <w:t xml:space="preserve"> showcase the knowledge they have developed throughout the unit of inquiry.</w:t>
      </w:r>
      <w:r w:rsidR="00041F54">
        <w:rPr>
          <w:rFonts w:ascii="Garamond" w:eastAsia="Times New Roman" w:hAnsi="Garamond"/>
          <w:sz w:val="21"/>
          <w:szCs w:val="21"/>
        </w:rPr>
        <w:t xml:space="preserve"> </w:t>
      </w:r>
    </w:p>
    <w:p w14:paraId="033D1B7E" w14:textId="77777777" w:rsidR="003A245E" w:rsidRPr="00AA531C" w:rsidRDefault="003A245E" w:rsidP="003A245E">
      <w:pPr>
        <w:spacing w:line="240" w:lineRule="auto"/>
        <w:ind w:left="720"/>
        <w:rPr>
          <w:rFonts w:ascii="Century Gothic" w:hAnsi="Century Gothic" w:cs="Calibri"/>
          <w:color w:val="000000"/>
          <w:sz w:val="21"/>
          <w:szCs w:val="21"/>
          <w:lang w:eastAsia="zh-CN"/>
        </w:rPr>
      </w:pPr>
    </w:p>
    <w:p w14:paraId="3ACC3794" w14:textId="77777777" w:rsidR="00D91192" w:rsidRPr="00AA531C" w:rsidRDefault="00D91192" w:rsidP="00D0684C">
      <w:pPr>
        <w:spacing w:line="240" w:lineRule="auto"/>
        <w:rPr>
          <w:rFonts w:ascii="Century Gothic" w:hAnsi="Century Gothic"/>
          <w:sz w:val="21"/>
          <w:szCs w:val="21"/>
        </w:rPr>
      </w:pPr>
    </w:p>
    <w:sectPr w:rsidR="00D91192" w:rsidRPr="00AA531C" w:rsidSect="00F3725C">
      <w:pgSz w:w="12240" w:h="15840"/>
      <w:pgMar w:top="32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262"/>
    <w:multiLevelType w:val="multilevel"/>
    <w:tmpl w:val="37FE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463EC"/>
    <w:multiLevelType w:val="hybridMultilevel"/>
    <w:tmpl w:val="4236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E27E5"/>
    <w:multiLevelType w:val="multilevel"/>
    <w:tmpl w:val="D51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6C99"/>
    <w:multiLevelType w:val="hybridMultilevel"/>
    <w:tmpl w:val="F626C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525A3"/>
    <w:multiLevelType w:val="hybridMultilevel"/>
    <w:tmpl w:val="228A5F8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37E510D7"/>
    <w:multiLevelType w:val="multilevel"/>
    <w:tmpl w:val="7238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A6EFC"/>
    <w:multiLevelType w:val="multilevel"/>
    <w:tmpl w:val="09E2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A681B"/>
    <w:multiLevelType w:val="hybridMultilevel"/>
    <w:tmpl w:val="7D42D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27BCB"/>
    <w:multiLevelType w:val="multilevel"/>
    <w:tmpl w:val="F6B8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477C4"/>
    <w:multiLevelType w:val="hybridMultilevel"/>
    <w:tmpl w:val="FC8E7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C2ED6"/>
    <w:multiLevelType w:val="hybridMultilevel"/>
    <w:tmpl w:val="267A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44107"/>
    <w:multiLevelType w:val="hybridMultilevel"/>
    <w:tmpl w:val="FC36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C6253"/>
    <w:multiLevelType w:val="multilevel"/>
    <w:tmpl w:val="A0C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152CD"/>
    <w:multiLevelType w:val="hybridMultilevel"/>
    <w:tmpl w:val="8B7ED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01170"/>
    <w:multiLevelType w:val="hybridMultilevel"/>
    <w:tmpl w:val="70DE560A"/>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num w:numId="1" w16cid:durableId="863403886">
    <w:abstractNumId w:val="2"/>
  </w:num>
  <w:num w:numId="2" w16cid:durableId="236323589">
    <w:abstractNumId w:val="4"/>
  </w:num>
  <w:num w:numId="3" w16cid:durableId="1552762495">
    <w:abstractNumId w:val="14"/>
  </w:num>
  <w:num w:numId="4" w16cid:durableId="1839035074">
    <w:abstractNumId w:val="9"/>
  </w:num>
  <w:num w:numId="5" w16cid:durableId="706416197">
    <w:abstractNumId w:val="13"/>
  </w:num>
  <w:num w:numId="6" w16cid:durableId="1419794175">
    <w:abstractNumId w:val="10"/>
  </w:num>
  <w:num w:numId="7" w16cid:durableId="1415739230">
    <w:abstractNumId w:val="6"/>
  </w:num>
  <w:num w:numId="8" w16cid:durableId="1624069989">
    <w:abstractNumId w:val="5"/>
  </w:num>
  <w:num w:numId="9" w16cid:durableId="352270061">
    <w:abstractNumId w:val="8"/>
  </w:num>
  <w:num w:numId="10" w16cid:durableId="1809398124">
    <w:abstractNumId w:val="12"/>
  </w:num>
  <w:num w:numId="11" w16cid:durableId="167864090">
    <w:abstractNumId w:val="1"/>
  </w:num>
  <w:num w:numId="12" w16cid:durableId="132255307">
    <w:abstractNumId w:val="7"/>
  </w:num>
  <w:num w:numId="13" w16cid:durableId="934291775">
    <w:abstractNumId w:val="11"/>
  </w:num>
  <w:num w:numId="14" w16cid:durableId="216166748">
    <w:abstractNumId w:val="0"/>
  </w:num>
  <w:num w:numId="15" w16cid:durableId="156725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F6"/>
    <w:rsid w:val="00005CFA"/>
    <w:rsid w:val="000235D7"/>
    <w:rsid w:val="00041F54"/>
    <w:rsid w:val="000679FC"/>
    <w:rsid w:val="000738D4"/>
    <w:rsid w:val="000820B7"/>
    <w:rsid w:val="000B7A58"/>
    <w:rsid w:val="000F0D66"/>
    <w:rsid w:val="000F3D68"/>
    <w:rsid w:val="000F7FD4"/>
    <w:rsid w:val="00124FAD"/>
    <w:rsid w:val="0012725C"/>
    <w:rsid w:val="00136E18"/>
    <w:rsid w:val="00156AB4"/>
    <w:rsid w:val="00172539"/>
    <w:rsid w:val="001735B8"/>
    <w:rsid w:val="001775BF"/>
    <w:rsid w:val="0019280C"/>
    <w:rsid w:val="001A0CE8"/>
    <w:rsid w:val="001A4BF7"/>
    <w:rsid w:val="001B4ABD"/>
    <w:rsid w:val="001F69E1"/>
    <w:rsid w:val="00253FA3"/>
    <w:rsid w:val="0026660C"/>
    <w:rsid w:val="002704A3"/>
    <w:rsid w:val="002C7A30"/>
    <w:rsid w:val="002E4C73"/>
    <w:rsid w:val="00315687"/>
    <w:rsid w:val="00315BD9"/>
    <w:rsid w:val="00332CEF"/>
    <w:rsid w:val="00341568"/>
    <w:rsid w:val="00365BEC"/>
    <w:rsid w:val="003936A4"/>
    <w:rsid w:val="003A245E"/>
    <w:rsid w:val="003A4463"/>
    <w:rsid w:val="00423A9C"/>
    <w:rsid w:val="00423C0E"/>
    <w:rsid w:val="0045264A"/>
    <w:rsid w:val="0046238E"/>
    <w:rsid w:val="004733FE"/>
    <w:rsid w:val="004842A3"/>
    <w:rsid w:val="00486D22"/>
    <w:rsid w:val="004A298E"/>
    <w:rsid w:val="004B13B7"/>
    <w:rsid w:val="004C167E"/>
    <w:rsid w:val="004E1F97"/>
    <w:rsid w:val="005051D8"/>
    <w:rsid w:val="005073F3"/>
    <w:rsid w:val="00526095"/>
    <w:rsid w:val="00533952"/>
    <w:rsid w:val="005A179C"/>
    <w:rsid w:val="005A18FE"/>
    <w:rsid w:val="005C04DC"/>
    <w:rsid w:val="005C1BBE"/>
    <w:rsid w:val="005E1585"/>
    <w:rsid w:val="005E25C8"/>
    <w:rsid w:val="006144F1"/>
    <w:rsid w:val="00620C9B"/>
    <w:rsid w:val="00624B17"/>
    <w:rsid w:val="006405AF"/>
    <w:rsid w:val="00665F00"/>
    <w:rsid w:val="00666A1E"/>
    <w:rsid w:val="006704EB"/>
    <w:rsid w:val="00680551"/>
    <w:rsid w:val="00693087"/>
    <w:rsid w:val="006A1927"/>
    <w:rsid w:val="006A5C14"/>
    <w:rsid w:val="006A7252"/>
    <w:rsid w:val="006B2A41"/>
    <w:rsid w:val="006D73B1"/>
    <w:rsid w:val="006F5930"/>
    <w:rsid w:val="007056F4"/>
    <w:rsid w:val="00746D04"/>
    <w:rsid w:val="00753385"/>
    <w:rsid w:val="00770A50"/>
    <w:rsid w:val="00782D46"/>
    <w:rsid w:val="00784700"/>
    <w:rsid w:val="00786B41"/>
    <w:rsid w:val="00792804"/>
    <w:rsid w:val="007C0E6E"/>
    <w:rsid w:val="007C31D9"/>
    <w:rsid w:val="007D63A2"/>
    <w:rsid w:val="007E4808"/>
    <w:rsid w:val="007F7A8A"/>
    <w:rsid w:val="00801982"/>
    <w:rsid w:val="00804255"/>
    <w:rsid w:val="00827204"/>
    <w:rsid w:val="008312D5"/>
    <w:rsid w:val="008662F0"/>
    <w:rsid w:val="00880819"/>
    <w:rsid w:val="00897EFD"/>
    <w:rsid w:val="008A029C"/>
    <w:rsid w:val="008A3F9E"/>
    <w:rsid w:val="008B3BAA"/>
    <w:rsid w:val="008C62D3"/>
    <w:rsid w:val="00903988"/>
    <w:rsid w:val="009554EF"/>
    <w:rsid w:val="00971D40"/>
    <w:rsid w:val="0097511A"/>
    <w:rsid w:val="00990279"/>
    <w:rsid w:val="009A5557"/>
    <w:rsid w:val="009B2CDA"/>
    <w:rsid w:val="009B34B0"/>
    <w:rsid w:val="009C7277"/>
    <w:rsid w:val="009D4E52"/>
    <w:rsid w:val="00A31985"/>
    <w:rsid w:val="00A74BF6"/>
    <w:rsid w:val="00A81C45"/>
    <w:rsid w:val="00A82325"/>
    <w:rsid w:val="00AA289F"/>
    <w:rsid w:val="00AA291B"/>
    <w:rsid w:val="00AA531C"/>
    <w:rsid w:val="00AD3E7B"/>
    <w:rsid w:val="00B02DD4"/>
    <w:rsid w:val="00B52A1A"/>
    <w:rsid w:val="00BA1E57"/>
    <w:rsid w:val="00BC6017"/>
    <w:rsid w:val="00BE36D6"/>
    <w:rsid w:val="00BE3A2E"/>
    <w:rsid w:val="00C30316"/>
    <w:rsid w:val="00C34203"/>
    <w:rsid w:val="00C427D2"/>
    <w:rsid w:val="00C46ACB"/>
    <w:rsid w:val="00C47B5E"/>
    <w:rsid w:val="00C51D8F"/>
    <w:rsid w:val="00C8253A"/>
    <w:rsid w:val="00C93F36"/>
    <w:rsid w:val="00CC21D1"/>
    <w:rsid w:val="00CC41EB"/>
    <w:rsid w:val="00CE4AB7"/>
    <w:rsid w:val="00CF32CB"/>
    <w:rsid w:val="00D0684C"/>
    <w:rsid w:val="00D62010"/>
    <w:rsid w:val="00D65EDC"/>
    <w:rsid w:val="00D84116"/>
    <w:rsid w:val="00D91192"/>
    <w:rsid w:val="00DA4246"/>
    <w:rsid w:val="00DC203A"/>
    <w:rsid w:val="00DC2CFF"/>
    <w:rsid w:val="00E370E7"/>
    <w:rsid w:val="00E40BBE"/>
    <w:rsid w:val="00E83DB0"/>
    <w:rsid w:val="00E8522B"/>
    <w:rsid w:val="00E91757"/>
    <w:rsid w:val="00E932FD"/>
    <w:rsid w:val="00EB5353"/>
    <w:rsid w:val="00EC11A6"/>
    <w:rsid w:val="00ED002B"/>
    <w:rsid w:val="00EE20E4"/>
    <w:rsid w:val="00EE3C44"/>
    <w:rsid w:val="00EF6D9A"/>
    <w:rsid w:val="00F2140E"/>
    <w:rsid w:val="00F25AE2"/>
    <w:rsid w:val="00F3725C"/>
    <w:rsid w:val="00F37718"/>
    <w:rsid w:val="00F43D5D"/>
    <w:rsid w:val="00F44AF9"/>
    <w:rsid w:val="00F528F7"/>
    <w:rsid w:val="00F5488B"/>
    <w:rsid w:val="00F8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C38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470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74BF6"/>
    <w:rPr>
      <w:rFonts w:cs="Times New Roman"/>
      <w:b/>
      <w:bCs/>
    </w:rPr>
  </w:style>
  <w:style w:type="paragraph" w:styleId="NormalWeb">
    <w:name w:val="Normal (Web)"/>
    <w:basedOn w:val="Normal"/>
    <w:uiPriority w:val="99"/>
    <w:semiHidden/>
    <w:rsid w:val="00A74BF6"/>
    <w:pPr>
      <w:spacing w:before="240" w:after="24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A74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BF6"/>
    <w:rPr>
      <w:rFonts w:ascii="Tahoma" w:hAnsi="Tahoma" w:cs="Tahoma"/>
      <w:sz w:val="16"/>
      <w:szCs w:val="16"/>
    </w:rPr>
  </w:style>
  <w:style w:type="paragraph" w:styleId="ListParagraph">
    <w:name w:val="List Paragraph"/>
    <w:basedOn w:val="Normal"/>
    <w:uiPriority w:val="99"/>
    <w:qFormat/>
    <w:rsid w:val="00AA289F"/>
    <w:pPr>
      <w:ind w:left="720"/>
      <w:contextualSpacing/>
    </w:pPr>
  </w:style>
  <w:style w:type="character" w:styleId="Hyperlink">
    <w:name w:val="Hyperlink"/>
    <w:basedOn w:val="DefaultParagraphFont"/>
    <w:uiPriority w:val="99"/>
    <w:semiHidden/>
    <w:unhideWhenUsed/>
    <w:rsid w:val="000F3D68"/>
    <w:rPr>
      <w:color w:val="0000FF"/>
      <w:u w:val="single"/>
    </w:rPr>
  </w:style>
  <w:style w:type="character" w:customStyle="1" w:styleId="apple-converted-space">
    <w:name w:val="apple-converted-space"/>
    <w:basedOn w:val="DefaultParagraphFont"/>
    <w:rsid w:val="000F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2750">
      <w:bodyDiv w:val="1"/>
      <w:marLeft w:val="0"/>
      <w:marRight w:val="0"/>
      <w:marTop w:val="0"/>
      <w:marBottom w:val="0"/>
      <w:divBdr>
        <w:top w:val="none" w:sz="0" w:space="0" w:color="auto"/>
        <w:left w:val="none" w:sz="0" w:space="0" w:color="auto"/>
        <w:bottom w:val="none" w:sz="0" w:space="0" w:color="auto"/>
        <w:right w:val="none" w:sz="0" w:space="0" w:color="auto"/>
      </w:divBdr>
    </w:div>
    <w:div w:id="1017276000">
      <w:bodyDiv w:val="1"/>
      <w:marLeft w:val="0"/>
      <w:marRight w:val="0"/>
      <w:marTop w:val="0"/>
      <w:marBottom w:val="0"/>
      <w:divBdr>
        <w:top w:val="none" w:sz="0" w:space="0" w:color="auto"/>
        <w:left w:val="none" w:sz="0" w:space="0" w:color="auto"/>
        <w:bottom w:val="none" w:sz="0" w:space="0" w:color="auto"/>
        <w:right w:val="none" w:sz="0" w:space="0" w:color="auto"/>
      </w:divBdr>
      <w:divsChild>
        <w:div w:id="1592082318">
          <w:marLeft w:val="0"/>
          <w:marRight w:val="0"/>
          <w:marTop w:val="0"/>
          <w:marBottom w:val="0"/>
          <w:divBdr>
            <w:top w:val="none" w:sz="0" w:space="0" w:color="auto"/>
            <w:left w:val="none" w:sz="0" w:space="0" w:color="auto"/>
            <w:bottom w:val="none" w:sz="0" w:space="0" w:color="auto"/>
            <w:right w:val="none" w:sz="0" w:space="0" w:color="auto"/>
          </w:divBdr>
          <w:divsChild>
            <w:div w:id="1121191682">
              <w:marLeft w:val="0"/>
              <w:marRight w:val="0"/>
              <w:marTop w:val="0"/>
              <w:marBottom w:val="0"/>
              <w:divBdr>
                <w:top w:val="none" w:sz="0" w:space="0" w:color="auto"/>
                <w:left w:val="none" w:sz="0" w:space="0" w:color="auto"/>
                <w:bottom w:val="none" w:sz="0" w:space="0" w:color="auto"/>
                <w:right w:val="none" w:sz="0" w:space="0" w:color="auto"/>
              </w:divBdr>
              <w:divsChild>
                <w:div w:id="1566140592">
                  <w:marLeft w:val="0"/>
                  <w:marRight w:val="0"/>
                  <w:marTop w:val="0"/>
                  <w:marBottom w:val="0"/>
                  <w:divBdr>
                    <w:top w:val="none" w:sz="0" w:space="0" w:color="auto"/>
                    <w:left w:val="none" w:sz="0" w:space="0" w:color="auto"/>
                    <w:bottom w:val="none" w:sz="0" w:space="0" w:color="auto"/>
                    <w:right w:val="none" w:sz="0" w:space="0" w:color="auto"/>
                  </w:divBdr>
                  <w:divsChild>
                    <w:div w:id="2017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9720">
      <w:bodyDiv w:val="1"/>
      <w:marLeft w:val="0"/>
      <w:marRight w:val="0"/>
      <w:marTop w:val="0"/>
      <w:marBottom w:val="0"/>
      <w:divBdr>
        <w:top w:val="none" w:sz="0" w:space="0" w:color="auto"/>
        <w:left w:val="none" w:sz="0" w:space="0" w:color="auto"/>
        <w:bottom w:val="none" w:sz="0" w:space="0" w:color="auto"/>
        <w:right w:val="none" w:sz="0" w:space="0" w:color="auto"/>
      </w:divBdr>
      <w:divsChild>
        <w:div w:id="1053577608">
          <w:marLeft w:val="0"/>
          <w:marRight w:val="0"/>
          <w:marTop w:val="0"/>
          <w:marBottom w:val="0"/>
          <w:divBdr>
            <w:top w:val="none" w:sz="0" w:space="0" w:color="auto"/>
            <w:left w:val="none" w:sz="0" w:space="0" w:color="auto"/>
            <w:bottom w:val="none" w:sz="0" w:space="0" w:color="auto"/>
            <w:right w:val="none" w:sz="0" w:space="0" w:color="auto"/>
          </w:divBdr>
          <w:divsChild>
            <w:div w:id="1501845845">
              <w:marLeft w:val="0"/>
              <w:marRight w:val="0"/>
              <w:marTop w:val="0"/>
              <w:marBottom w:val="0"/>
              <w:divBdr>
                <w:top w:val="none" w:sz="0" w:space="0" w:color="auto"/>
                <w:left w:val="none" w:sz="0" w:space="0" w:color="auto"/>
                <w:bottom w:val="none" w:sz="0" w:space="0" w:color="auto"/>
                <w:right w:val="none" w:sz="0" w:space="0" w:color="auto"/>
              </w:divBdr>
              <w:divsChild>
                <w:div w:id="1304232776">
                  <w:marLeft w:val="0"/>
                  <w:marRight w:val="0"/>
                  <w:marTop w:val="0"/>
                  <w:marBottom w:val="0"/>
                  <w:divBdr>
                    <w:top w:val="none" w:sz="0" w:space="0" w:color="auto"/>
                    <w:left w:val="none" w:sz="0" w:space="0" w:color="auto"/>
                    <w:bottom w:val="none" w:sz="0" w:space="0" w:color="auto"/>
                    <w:right w:val="none" w:sz="0" w:space="0" w:color="auto"/>
                  </w:divBdr>
                  <w:divsChild>
                    <w:div w:id="21347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8053">
              <w:marLeft w:val="0"/>
              <w:marRight w:val="0"/>
              <w:marTop w:val="0"/>
              <w:marBottom w:val="0"/>
              <w:divBdr>
                <w:top w:val="none" w:sz="0" w:space="0" w:color="auto"/>
                <w:left w:val="none" w:sz="0" w:space="0" w:color="auto"/>
                <w:bottom w:val="none" w:sz="0" w:space="0" w:color="auto"/>
                <w:right w:val="none" w:sz="0" w:space="0" w:color="auto"/>
              </w:divBdr>
              <w:divsChild>
                <w:div w:id="786631005">
                  <w:marLeft w:val="0"/>
                  <w:marRight w:val="0"/>
                  <w:marTop w:val="0"/>
                  <w:marBottom w:val="0"/>
                  <w:divBdr>
                    <w:top w:val="none" w:sz="0" w:space="0" w:color="auto"/>
                    <w:left w:val="none" w:sz="0" w:space="0" w:color="auto"/>
                    <w:bottom w:val="none" w:sz="0" w:space="0" w:color="auto"/>
                    <w:right w:val="none" w:sz="0" w:space="0" w:color="auto"/>
                  </w:divBdr>
                  <w:divsChild>
                    <w:div w:id="1029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26381">
          <w:marLeft w:val="0"/>
          <w:marRight w:val="0"/>
          <w:marTop w:val="0"/>
          <w:marBottom w:val="0"/>
          <w:divBdr>
            <w:top w:val="none" w:sz="0" w:space="0" w:color="auto"/>
            <w:left w:val="none" w:sz="0" w:space="0" w:color="auto"/>
            <w:bottom w:val="none" w:sz="0" w:space="0" w:color="auto"/>
            <w:right w:val="none" w:sz="0" w:space="0" w:color="auto"/>
          </w:divBdr>
          <w:divsChild>
            <w:div w:id="369187422">
              <w:marLeft w:val="0"/>
              <w:marRight w:val="0"/>
              <w:marTop w:val="0"/>
              <w:marBottom w:val="0"/>
              <w:divBdr>
                <w:top w:val="none" w:sz="0" w:space="0" w:color="auto"/>
                <w:left w:val="none" w:sz="0" w:space="0" w:color="auto"/>
                <w:bottom w:val="none" w:sz="0" w:space="0" w:color="auto"/>
                <w:right w:val="none" w:sz="0" w:space="0" w:color="auto"/>
              </w:divBdr>
              <w:divsChild>
                <w:div w:id="919607839">
                  <w:marLeft w:val="0"/>
                  <w:marRight w:val="0"/>
                  <w:marTop w:val="0"/>
                  <w:marBottom w:val="0"/>
                  <w:divBdr>
                    <w:top w:val="none" w:sz="0" w:space="0" w:color="auto"/>
                    <w:left w:val="none" w:sz="0" w:space="0" w:color="auto"/>
                    <w:bottom w:val="none" w:sz="0" w:space="0" w:color="auto"/>
                    <w:right w:val="none" w:sz="0" w:space="0" w:color="auto"/>
                  </w:divBdr>
                  <w:divsChild>
                    <w:div w:id="13977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50874">
      <w:bodyDiv w:val="1"/>
      <w:marLeft w:val="0"/>
      <w:marRight w:val="0"/>
      <w:marTop w:val="0"/>
      <w:marBottom w:val="0"/>
      <w:divBdr>
        <w:top w:val="none" w:sz="0" w:space="0" w:color="auto"/>
        <w:left w:val="none" w:sz="0" w:space="0" w:color="auto"/>
        <w:bottom w:val="none" w:sz="0" w:space="0" w:color="auto"/>
        <w:right w:val="none" w:sz="0" w:space="0" w:color="auto"/>
      </w:divBdr>
      <w:divsChild>
        <w:div w:id="482048002">
          <w:marLeft w:val="0"/>
          <w:marRight w:val="0"/>
          <w:marTop w:val="0"/>
          <w:marBottom w:val="0"/>
          <w:divBdr>
            <w:top w:val="none" w:sz="0" w:space="0" w:color="auto"/>
            <w:left w:val="none" w:sz="0" w:space="0" w:color="auto"/>
            <w:bottom w:val="none" w:sz="0" w:space="0" w:color="auto"/>
            <w:right w:val="none" w:sz="0" w:space="0" w:color="auto"/>
          </w:divBdr>
        </w:div>
        <w:div w:id="901133347">
          <w:marLeft w:val="0"/>
          <w:marRight w:val="0"/>
          <w:marTop w:val="0"/>
          <w:marBottom w:val="0"/>
          <w:divBdr>
            <w:top w:val="none" w:sz="0" w:space="0" w:color="auto"/>
            <w:left w:val="none" w:sz="0" w:space="0" w:color="auto"/>
            <w:bottom w:val="none" w:sz="0" w:space="0" w:color="auto"/>
            <w:right w:val="none" w:sz="0" w:space="0" w:color="auto"/>
          </w:divBdr>
        </w:div>
      </w:divsChild>
    </w:div>
    <w:div w:id="1219394759">
      <w:bodyDiv w:val="1"/>
      <w:marLeft w:val="0"/>
      <w:marRight w:val="0"/>
      <w:marTop w:val="0"/>
      <w:marBottom w:val="0"/>
      <w:divBdr>
        <w:top w:val="none" w:sz="0" w:space="0" w:color="auto"/>
        <w:left w:val="none" w:sz="0" w:space="0" w:color="auto"/>
        <w:bottom w:val="none" w:sz="0" w:space="0" w:color="auto"/>
        <w:right w:val="none" w:sz="0" w:space="0" w:color="auto"/>
      </w:divBdr>
    </w:div>
    <w:div w:id="1305354655">
      <w:marLeft w:val="0"/>
      <w:marRight w:val="0"/>
      <w:marTop w:val="0"/>
      <w:marBottom w:val="0"/>
      <w:divBdr>
        <w:top w:val="none" w:sz="0" w:space="0" w:color="auto"/>
        <w:left w:val="none" w:sz="0" w:space="0" w:color="auto"/>
        <w:bottom w:val="none" w:sz="0" w:space="0" w:color="auto"/>
        <w:right w:val="none" w:sz="0" w:space="0" w:color="auto"/>
      </w:divBdr>
      <w:divsChild>
        <w:div w:id="1305354657">
          <w:marLeft w:val="0"/>
          <w:marRight w:val="0"/>
          <w:marTop w:val="0"/>
          <w:marBottom w:val="0"/>
          <w:divBdr>
            <w:top w:val="none" w:sz="0" w:space="0" w:color="auto"/>
            <w:left w:val="none" w:sz="0" w:space="0" w:color="auto"/>
            <w:bottom w:val="none" w:sz="0" w:space="0" w:color="auto"/>
            <w:right w:val="none" w:sz="0" w:space="0" w:color="auto"/>
          </w:divBdr>
          <w:divsChild>
            <w:div w:id="13053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0676">
      <w:bodyDiv w:val="1"/>
      <w:marLeft w:val="0"/>
      <w:marRight w:val="0"/>
      <w:marTop w:val="0"/>
      <w:marBottom w:val="0"/>
      <w:divBdr>
        <w:top w:val="none" w:sz="0" w:space="0" w:color="auto"/>
        <w:left w:val="none" w:sz="0" w:space="0" w:color="auto"/>
        <w:bottom w:val="none" w:sz="0" w:space="0" w:color="auto"/>
        <w:right w:val="none" w:sz="0" w:space="0" w:color="auto"/>
      </w:divBdr>
    </w:div>
    <w:div w:id="1671249783">
      <w:bodyDiv w:val="1"/>
      <w:marLeft w:val="0"/>
      <w:marRight w:val="0"/>
      <w:marTop w:val="0"/>
      <w:marBottom w:val="0"/>
      <w:divBdr>
        <w:top w:val="none" w:sz="0" w:space="0" w:color="auto"/>
        <w:left w:val="none" w:sz="0" w:space="0" w:color="auto"/>
        <w:bottom w:val="none" w:sz="0" w:space="0" w:color="auto"/>
        <w:right w:val="none" w:sz="0" w:space="0" w:color="auto"/>
      </w:divBdr>
    </w:div>
    <w:div w:id="1709185592">
      <w:bodyDiv w:val="1"/>
      <w:marLeft w:val="0"/>
      <w:marRight w:val="0"/>
      <w:marTop w:val="0"/>
      <w:marBottom w:val="0"/>
      <w:divBdr>
        <w:top w:val="none" w:sz="0" w:space="0" w:color="auto"/>
        <w:left w:val="none" w:sz="0" w:space="0" w:color="auto"/>
        <w:bottom w:val="none" w:sz="0" w:space="0" w:color="auto"/>
        <w:right w:val="none" w:sz="0" w:space="0" w:color="auto"/>
      </w:divBdr>
    </w:div>
    <w:div w:id="20895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family.com/a-developmental-history-helps-diagnosis-disabilities-216217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1535</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vt:lpstr>
    </vt:vector>
  </TitlesOfParts>
  <Company>East Hartford Public Schools</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clark.ks</dc:creator>
  <cp:keywords/>
  <dc:description/>
  <cp:lastModifiedBy>Erin A. Greco</cp:lastModifiedBy>
  <cp:revision>61</cp:revision>
  <cp:lastPrinted>2019-02-11T12:54:00Z</cp:lastPrinted>
  <dcterms:created xsi:type="dcterms:W3CDTF">2019-02-11T12:46:00Z</dcterms:created>
  <dcterms:modified xsi:type="dcterms:W3CDTF">2023-09-12T15:05:00Z</dcterms:modified>
</cp:coreProperties>
</file>